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E62E5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E62E5F" w:rsidRDefault="002537D0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E5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E62E5F" w:rsidRDefault="002537D0">
            <w:pPr>
              <w:pStyle w:val="ConsPlusTitlePage0"/>
              <w:jc w:val="center"/>
            </w:pPr>
            <w:r>
              <w:rPr>
                <w:sz w:val="48"/>
              </w:rPr>
              <w:t>Распоряжение Правительства РФ от 20.09.2021 N 2613-р</w:t>
            </w:r>
            <w:r>
              <w:rPr>
                <w:sz w:val="48"/>
              </w:rPr>
              <w:br/>
              <w:t>(ред. от 21.10.2024)</w:t>
            </w:r>
            <w:r>
              <w:rPr>
                <w:sz w:val="48"/>
              </w:rPr>
              <w:br/>
              <w:t>&lt;Об утверждении Концепции развития креативных (творческих) индустрий и механизмов осуществления их государственной поддержки до 2030 года&gt;</w:t>
            </w:r>
          </w:p>
        </w:tc>
      </w:tr>
      <w:tr w:rsidR="00E62E5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E62E5F" w:rsidRDefault="002537D0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10.02.2026</w:t>
            </w:r>
            <w:r>
              <w:rPr>
                <w:sz w:val="28"/>
              </w:rPr>
              <w:br/>
              <w:t> </w:t>
            </w:r>
          </w:p>
        </w:tc>
      </w:tr>
    </w:tbl>
    <w:p w:rsidR="00E62E5F" w:rsidRDefault="00E62E5F">
      <w:pPr>
        <w:pStyle w:val="ConsPlusNormal0"/>
        <w:sectPr w:rsidR="00E62E5F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E62E5F" w:rsidRDefault="00E62E5F">
      <w:pPr>
        <w:pStyle w:val="ConsPlusNormal0"/>
        <w:outlineLvl w:val="0"/>
      </w:pPr>
    </w:p>
    <w:p w:rsidR="00E62E5F" w:rsidRDefault="002537D0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E62E5F" w:rsidRDefault="00E62E5F">
      <w:pPr>
        <w:pStyle w:val="ConsPlusTitle0"/>
        <w:jc w:val="center"/>
      </w:pPr>
    </w:p>
    <w:p w:rsidR="00E62E5F" w:rsidRDefault="002537D0">
      <w:pPr>
        <w:pStyle w:val="ConsPlusTitle0"/>
        <w:jc w:val="center"/>
      </w:pPr>
      <w:r>
        <w:t>РАСПОРЯЖЕНИЕ</w:t>
      </w:r>
    </w:p>
    <w:p w:rsidR="00E62E5F" w:rsidRDefault="002537D0">
      <w:pPr>
        <w:pStyle w:val="ConsPlusTitle0"/>
        <w:jc w:val="center"/>
      </w:pPr>
      <w:r>
        <w:t>от 20 сентября 2021 г. N 2613-р</w:t>
      </w:r>
    </w:p>
    <w:p w:rsidR="00E62E5F" w:rsidRDefault="00E62E5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62E5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E5F" w:rsidRDefault="00E62E5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E5F" w:rsidRDefault="00E62E5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62E5F" w:rsidRDefault="002537D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62E5F" w:rsidRDefault="002537D0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26.01.2024 </w:t>
            </w:r>
            <w:hyperlink r:id="rId9" w:tooltip="Распоряжение Правительства РФ от 26.01.2024 N 145-р &lt;О внесении изменений в акты Правительства Российской Федерации&gt; {КонсультантПлюс}">
              <w:r>
                <w:rPr>
                  <w:color w:val="0000FF"/>
                </w:rPr>
                <w:t>N 145-р</w:t>
              </w:r>
            </w:hyperlink>
            <w:r>
              <w:rPr>
                <w:color w:val="392C69"/>
              </w:rPr>
              <w:t>,</w:t>
            </w:r>
          </w:p>
          <w:p w:rsidR="00E62E5F" w:rsidRDefault="002537D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21.10.2024 </w:t>
            </w:r>
            <w:hyperlink r:id="rId10" w:tooltip="Распоряжение Правительства РФ от 21.10.2024 N 2963-р (ред. от 19.12.2025) &lt;О внесении изменений в отдельные стратегии развития отраслей промышленности Российской Федерации&gt; {КонсультантПлюс}">
              <w:r>
                <w:rPr>
                  <w:color w:val="0000FF"/>
                </w:rPr>
                <w:t>N 2963-р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E5F" w:rsidRDefault="00E62E5F">
            <w:pPr>
              <w:pStyle w:val="ConsPlusNormal0"/>
            </w:pPr>
          </w:p>
        </w:tc>
      </w:tr>
    </w:tbl>
    <w:p w:rsidR="00E62E5F" w:rsidRDefault="00E62E5F">
      <w:pPr>
        <w:pStyle w:val="ConsPlusNormal0"/>
        <w:jc w:val="center"/>
      </w:pPr>
    </w:p>
    <w:p w:rsidR="00E62E5F" w:rsidRDefault="002537D0">
      <w:pPr>
        <w:pStyle w:val="ConsPlusNormal0"/>
        <w:ind w:firstLine="540"/>
        <w:jc w:val="both"/>
      </w:pPr>
      <w:r>
        <w:t xml:space="preserve">1. Утвердить прилагаемую </w:t>
      </w:r>
      <w:hyperlink w:anchor="P32" w:tooltip="КОНЦЕПЦИЯ">
        <w:r>
          <w:rPr>
            <w:color w:val="0000FF"/>
          </w:rPr>
          <w:t>Концепцию</w:t>
        </w:r>
      </w:hyperlink>
      <w:r>
        <w:t xml:space="preserve"> развития креативных (творческих) индустрий и механизмов осуществления их государственной поддержки до 2030 года.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2. Ми</w:t>
      </w:r>
      <w:r>
        <w:t xml:space="preserve">нкультуры России совместно с заинтересованными федеральными органами исполнительной власти и организациями разработать проект плана мероприятий по реализации </w:t>
      </w:r>
      <w:hyperlink w:anchor="P32" w:tooltip="КОНЦЕПЦИЯ">
        <w:r>
          <w:rPr>
            <w:color w:val="0000FF"/>
          </w:rPr>
          <w:t>Концепции</w:t>
        </w:r>
      </w:hyperlink>
      <w:r>
        <w:t xml:space="preserve"> развития творческих (креативных) индустрий и ме</w:t>
      </w:r>
      <w:r>
        <w:t>ханизмов осуществления их государственной поддержки в крупных и крупнейших городских агломерациях до 2030 года и представить его в Правительство Российской Федерации до 1 марта 2022 г.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3. Рекомендовать исполнительным органам субъектов Российской Федерации: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разработать комплекс мер, направленных на развитие креативных (творческих) индустрий;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3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учитывать положения </w:t>
      </w:r>
      <w:hyperlink w:anchor="P32" w:tooltip="КОНЦЕПЦИЯ">
        <w:r>
          <w:rPr>
            <w:color w:val="0000FF"/>
          </w:rPr>
          <w:t>Концепции</w:t>
        </w:r>
      </w:hyperlink>
      <w:r>
        <w:t xml:space="preserve"> развития креативных (творческих) индустрий и механизмов осуществления их государственной поддержки до 2030 года при разработке региональных стратегий социально-экономического развития.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Normal0"/>
        <w:jc w:val="right"/>
      </w:pPr>
      <w:r>
        <w:t>Председатель Правительства</w:t>
      </w:r>
    </w:p>
    <w:p w:rsidR="00E62E5F" w:rsidRDefault="002537D0">
      <w:pPr>
        <w:pStyle w:val="ConsPlusNormal0"/>
        <w:jc w:val="right"/>
      </w:pPr>
      <w:r>
        <w:t>Российской Федерации</w:t>
      </w:r>
    </w:p>
    <w:p w:rsidR="00E62E5F" w:rsidRDefault="002537D0">
      <w:pPr>
        <w:pStyle w:val="ConsPlusNormal0"/>
        <w:jc w:val="right"/>
      </w:pPr>
      <w:r>
        <w:t>М.МИШУСТИН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E62E5F">
      <w:pPr>
        <w:pStyle w:val="ConsPlusNormal0"/>
        <w:ind w:firstLine="540"/>
        <w:jc w:val="both"/>
      </w:pPr>
    </w:p>
    <w:p w:rsidR="00E62E5F" w:rsidRDefault="00E62E5F">
      <w:pPr>
        <w:pStyle w:val="ConsPlusNormal0"/>
        <w:ind w:firstLine="540"/>
        <w:jc w:val="both"/>
      </w:pPr>
    </w:p>
    <w:p w:rsidR="00E62E5F" w:rsidRDefault="00E62E5F">
      <w:pPr>
        <w:pStyle w:val="ConsPlusNormal0"/>
        <w:ind w:firstLine="540"/>
        <w:jc w:val="both"/>
      </w:pP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Normal0"/>
        <w:jc w:val="right"/>
        <w:outlineLvl w:val="0"/>
      </w:pPr>
      <w:r>
        <w:t>Утверждена</w:t>
      </w:r>
    </w:p>
    <w:p w:rsidR="00E62E5F" w:rsidRDefault="002537D0">
      <w:pPr>
        <w:pStyle w:val="ConsPlusNormal0"/>
        <w:jc w:val="right"/>
      </w:pPr>
      <w:r>
        <w:t>распоряжением Правительства</w:t>
      </w:r>
    </w:p>
    <w:p w:rsidR="00E62E5F" w:rsidRDefault="002537D0">
      <w:pPr>
        <w:pStyle w:val="ConsPlusNormal0"/>
        <w:jc w:val="right"/>
      </w:pPr>
      <w:r>
        <w:t>Российской Федерации</w:t>
      </w:r>
    </w:p>
    <w:p w:rsidR="00E62E5F" w:rsidRDefault="002537D0">
      <w:pPr>
        <w:pStyle w:val="ConsPlusNormal0"/>
        <w:jc w:val="right"/>
      </w:pPr>
      <w:r>
        <w:t>от 20 сентября 2021 г. N 2613-р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Title0"/>
        <w:jc w:val="center"/>
      </w:pPr>
      <w:bookmarkStart w:id="1" w:name="P32"/>
      <w:bookmarkEnd w:id="1"/>
      <w:r>
        <w:t>КОНЦЕПЦИЯ</w:t>
      </w:r>
    </w:p>
    <w:p w:rsidR="00E62E5F" w:rsidRDefault="002537D0">
      <w:pPr>
        <w:pStyle w:val="ConsPlusTitle0"/>
        <w:jc w:val="center"/>
      </w:pPr>
      <w:r>
        <w:t>РАЗВИТИЯ КРЕАТИВНЫХ (ТВОРЧЕСКИХ) ИНДУ</w:t>
      </w:r>
      <w:r>
        <w:t>СТРИЙ И МЕХАНИЗМОВ</w:t>
      </w:r>
    </w:p>
    <w:p w:rsidR="00E62E5F" w:rsidRDefault="002537D0">
      <w:pPr>
        <w:pStyle w:val="ConsPlusTitle0"/>
        <w:jc w:val="center"/>
      </w:pPr>
      <w:r>
        <w:t>ОСУЩЕСТВЛЕНИЯ ИХ ГОСУДАРСТВЕННОЙ ПОДДЕРЖКИ ДО 2030 ГОДА</w:t>
      </w:r>
    </w:p>
    <w:p w:rsidR="00E62E5F" w:rsidRDefault="00E62E5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62E5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E5F" w:rsidRDefault="00E62E5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E5F" w:rsidRDefault="00E62E5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62E5F" w:rsidRDefault="002537D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62E5F" w:rsidRDefault="002537D0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26.01.2024 </w:t>
            </w:r>
            <w:hyperlink r:id="rId15" w:tooltip="Распоряжение Правительства РФ от 26.01.2024 N 145-р &lt;О внесении изменений в акты Правительства Российской Федерации&gt; {КонсультантПлюс}">
              <w:r>
                <w:rPr>
                  <w:color w:val="0000FF"/>
                </w:rPr>
                <w:t xml:space="preserve">N </w:t>
              </w:r>
              <w:r>
                <w:rPr>
                  <w:color w:val="0000FF"/>
                </w:rPr>
                <w:t>145-р</w:t>
              </w:r>
            </w:hyperlink>
            <w:r>
              <w:rPr>
                <w:color w:val="392C69"/>
              </w:rPr>
              <w:t>,</w:t>
            </w:r>
          </w:p>
          <w:p w:rsidR="00E62E5F" w:rsidRDefault="002537D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21.10.2024 </w:t>
            </w:r>
            <w:hyperlink r:id="rId16" w:tooltip="Распоряжение Правительства РФ от 21.10.2024 N 2963-р (ред. от 19.12.2025) &lt;О внесении изменений в отдельные стратегии развития отраслей промышленности Российской Федерации&gt; {КонсультантПлюс}">
              <w:r>
                <w:rPr>
                  <w:color w:val="0000FF"/>
                </w:rPr>
                <w:t>N 2963-р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E5F" w:rsidRDefault="00E62E5F">
            <w:pPr>
              <w:pStyle w:val="ConsPlusNormal0"/>
            </w:pPr>
          </w:p>
        </w:tc>
      </w:tr>
    </w:tbl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Title0"/>
        <w:jc w:val="center"/>
        <w:outlineLvl w:val="1"/>
      </w:pPr>
      <w:r>
        <w:t>I. Общие положения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Normal0"/>
        <w:ind w:firstLine="540"/>
        <w:jc w:val="both"/>
      </w:pPr>
      <w:r>
        <w:t>Концепция развития креативных (творческих) индустрий и механизмов осуществления их государственной поддержки до 2030 года (далее - Концепция) опре</w:t>
      </w:r>
      <w:r>
        <w:t>деляет цели, задачи, приоритеты, принципы, направления и механизмы государственной поддержки креативных (творческих) индустрий в Российской Федерации.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Концепция разработана с учетом положений </w:t>
      </w:r>
      <w:hyperlink r:id="rId18" w:tooltip="Указ Президента РФ от 24.12.2014 N 808 (ред. от 17.07.2025) &quot;Об утверждении Основ государственной культурной политики&quot; {КонсультантПлюс}">
        <w:r>
          <w:rPr>
            <w:color w:val="0000FF"/>
          </w:rPr>
          <w:t>Основ</w:t>
        </w:r>
      </w:hyperlink>
      <w:r>
        <w:t xml:space="preserve"> государственной культурной политики, утвержденных Указом Президента Российской Федерации от 24 декабря 2014 г. N 808 "Об утверждении Основ государственной</w:t>
      </w:r>
      <w:r>
        <w:t xml:space="preserve"> культурной политики", </w:t>
      </w:r>
      <w:hyperlink r:id="rId19" w:tooltip="Указ Президента РФ от 28.02.2024 N 145 &quot;О Стратегии научно-технологического развития Российской Федерации&quot; {КонсультантПлюс}">
        <w:r>
          <w:rPr>
            <w:color w:val="0000FF"/>
          </w:rPr>
          <w:t>Стратегии</w:t>
        </w:r>
      </w:hyperlink>
      <w:r>
        <w:t xml:space="preserve"> научно-технологического развития Российской Федерации, утвержденной Указом Президента Российской Федерации от 28 февраля 2024 г. N 145 "О Стратегии научно-технологического развития Российской Федерации", и направлена на достижение </w:t>
      </w:r>
      <w:r>
        <w:t xml:space="preserve">целей, задач и приоритетов пространственного развития Российской Федерации, определенных </w:t>
      </w:r>
      <w:hyperlink r:id="rId20" w:tooltip="Распоряжение Правительства РФ от 13.02.2019 N 207-р (ред. от 30.09.2022) &lt;Об утверждении Стратегии пространственного развития Российской Федерации на период до 2025 года&gt; ------------ Утратил силу или отменен {КонсультантПлюс}">
        <w:r>
          <w:rPr>
            <w:color w:val="0000FF"/>
          </w:rPr>
          <w:t>Стратегией</w:t>
        </w:r>
      </w:hyperlink>
      <w:r>
        <w:t xml:space="preserve"> пространственного развития Российской Федерации на период до 202</w:t>
      </w:r>
      <w:r>
        <w:t>5 года, утвержденной распоряжением Правительства Российской Федерации от 13 февраля 2019 г. N 207-р.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21" w:tooltip="Распоряжение Правительства РФ от 21.10.2024 N 2963-р (ред. от 19.12.2025) &lt;О внесении изменений в отдельные стратегии развития отраслей промышленности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21.10.2024 N 2963-р)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Реализация Концепции будет способство</w:t>
      </w:r>
      <w:r>
        <w:t xml:space="preserve">вать достижению следующих национальных целей развития Российской Федерации, определенных </w:t>
      </w:r>
      <w:hyperlink r:id="rId22" w:tooltip="Указ Президента РФ от 21.07.2020 N 474 &quot;О национальных целях развития Российской Федерации на период до 2030 года&quot; ------------ Утратил силу или отменен {КонсультантПлюс}">
        <w:r>
          <w:rPr>
            <w:color w:val="0000FF"/>
          </w:rPr>
          <w:t>Указом</w:t>
        </w:r>
      </w:hyperlink>
      <w:r>
        <w:t xml:space="preserve"> Президента Российской Федерации от 21 июля 2020 г. N 474 "О национальных целях развития Российской Федерации на период до 2030 года":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возможнос</w:t>
      </w:r>
      <w:r>
        <w:t>ть для самореализации и развития талантов;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достойный, эффективный труд и успешное предпринимательство;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цифровая трансформация.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Правовую основу Концепции составляют </w:t>
      </w:r>
      <w:hyperlink r:id="rId2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Конституция</w:t>
        </w:r>
      </w:hyperlink>
      <w:r>
        <w:t xml:space="preserve"> Российской Федерации, </w:t>
      </w:r>
      <w:hyperlink r:id="rId24" w:tooltip="&quot;Основы законодательства Российской Федерации о культуре&quot; (утв. ВС РФ 09.10.1992 N 3612-1) (ред. от 24.06.2025) (с изм. и доп., вступ. в силу с 01.09.2025) {КонсультантПлюс}">
        <w:r>
          <w:rPr>
            <w:color w:val="0000FF"/>
          </w:rPr>
          <w:t>Закон</w:t>
        </w:r>
      </w:hyperlink>
      <w:r>
        <w:t xml:space="preserve"> Российской Федерации "Основы законодательства Российской Федерации о культуре", Гражданский </w:t>
      </w:r>
      <w:hyperlink r:id="rId25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color w:val="0000FF"/>
          </w:rPr>
          <w:t>кодекс</w:t>
        </w:r>
      </w:hyperlink>
      <w:r>
        <w:t xml:space="preserve"> Российской Федерации, федеральное и региональное зако</w:t>
      </w:r>
      <w:r>
        <w:t>нодательство в сфере культуры, поддержки малого и среднего предпринимательства.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Для целей настоящей Концепции используются следующие понятия: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"креативная экономика" - тип экономики, основанный на капитализации интеллектуальной собственности во всех областя</w:t>
      </w:r>
      <w:r>
        <w:t>х человеческой деятельности - научной, научно-технической, культурной и в целом творческой деятельности. Ядром креативной экономики являются креативные (творческие) индустрии;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2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lastRenderedPageBreak/>
        <w:t>"креативный кластер</w:t>
      </w:r>
      <w:r>
        <w:t>" - взаимосвязанные организации и предприятия, размещенные на территории компактно расположенных объектов недвижимости. Креативные кластеры развиваются управляющей компанией под единым брендом и объединяют резидентов (арендаторов) из секторов креативных (т</w:t>
      </w:r>
      <w:r>
        <w:t>ворческих) индустрий, субъектов креативного (творческого) предпринимательства в целом, имеют необходимую инфраструктуру для творческой и (или) предпринимательской деятельности, являются центром для создателей и потребителей творческого продукта и позитивно</w:t>
      </w:r>
      <w:r>
        <w:t xml:space="preserve"> воздействуют на территорию своего присутствия;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2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"креативные (творческие) индустрии" - сферы деятельности, в которых компании, организации, объединения и индивидуальные предприниматели в процессе </w:t>
      </w:r>
      <w:r>
        <w:t>творческой и культурной активности, распоряжения интеллектуальной собственностью производят товары и оказывают услуги, имеющие экономическую ценность, а также способствующие формированию гармонично развитой личности и росту качества жизни российского общес</w:t>
      </w:r>
      <w:r>
        <w:t>тва.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2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К креативным (творческим) индустриям относятся в том числе: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29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индустрии, основанные на использовании историко-культурного наследия </w:t>
      </w:r>
      <w:r>
        <w:t>(народно-художественные промыслы и ремесла, музейная деятельность);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индустрии, основанные на искусстве (театр, музыка, кино, анимация, живопись, деятельность галерей и др.);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современные медиа и производство цифрового контента (кино-, видео-, аудио-, анимац</w:t>
      </w:r>
      <w:r>
        <w:t>ионное производство, обработка данных и разработка программного обеспечения, виртуальная и дополненная реальность, компьютерные и видеоигры, блогерство, печатная индустрия, средства массовой информации, реклама и пр.);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прикладные креативные (творческие) ин</w:t>
      </w:r>
      <w:r>
        <w:t>дустрии (архитектура, промышленный дизайн, индустрия моды, гастрономическая индустрия и т.п.).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3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 точки зрения территориальной привязки субъектов креативных (творческих) индустрий можно выделить: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3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"локальные креативные (творческие) индустрии" - совокупность субъектов, деятельность которых направлена преимущественно на создание рабочих мест, обустройство и достижение привлекательности, в то</w:t>
      </w:r>
      <w:r>
        <w:t>м числе туристской, конкретных территорий;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3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"инвестиционные креативные (творческие) индустрии" - совокупность субъектов, деятельность которых направлена на создание и (или) использование результат</w:t>
      </w:r>
      <w:r>
        <w:t>ов творческой деятельности, преимущественно не связанных с конкретной местностью или способом производства. Консолидированным показателем развития субъектов в таких индустриях является объем инвестиций в основной капитал и формирование нематериальных актив</w:t>
      </w:r>
      <w:r>
        <w:t xml:space="preserve">ов, а влияние на </w:t>
      </w:r>
      <w:r>
        <w:lastRenderedPageBreak/>
        <w:t>другие сектора экономики обусловлено мультипликативным эффектом от использования принадлежащей им интеллектуальной собственности;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33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"креативный (творческий) инкубатор" - отдельный вид бизнес-инкубатора, специализирующегося на поддержке и развитии креативных (творческих) индустрий и креативного (творческого) предпринимательства в целом.</w:t>
      </w:r>
      <w:r>
        <w:t xml:space="preserve"> Задачи креативного (творческого) инкубатора заключаются в содействии и оказании услуг, необходимых для формирования устойчивого бизнеса, доработке и актуализации творческой идеи для соответствующего вида предпринимательской деятельности;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3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</w:t>
        </w:r>
        <w:r>
          <w:rPr>
            <w:color w:val="0000FF"/>
          </w:rPr>
          <w:t>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"креативное (творческое) предпринимательство" - экономическая деятельность, направленная на получение прибыли за счет создания и (или) использования результатов интеллектуальной деятельности и являющаяся необходи</w:t>
      </w:r>
      <w:r>
        <w:t>мой платформой и ресурсом для формирования и развития креативных (творческих) индустрий;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35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"экосистема креативных (творческих) индустрий" - совокупность институциональных условий и механизмов взаим</w:t>
      </w:r>
      <w:r>
        <w:t>одействия субъектов, участвующих в формировании и развитии креативных (творческих) индустрий, включая производство, дистрибуцию и популяризацию креативных (творческих) товаров и услуг, а также подготовку кадров.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3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</w:t>
      </w:r>
      <w:r>
        <w:t>01.2024 N 145-р)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Title0"/>
        <w:jc w:val="center"/>
        <w:outlineLvl w:val="1"/>
      </w:pPr>
      <w:r>
        <w:t>II. Основные тенденции развития креативных</w:t>
      </w:r>
    </w:p>
    <w:p w:rsidR="00E62E5F" w:rsidRDefault="002537D0">
      <w:pPr>
        <w:pStyle w:val="ConsPlusTitle0"/>
        <w:jc w:val="center"/>
      </w:pPr>
      <w:r>
        <w:t>(творческих) индустрий</w:t>
      </w:r>
    </w:p>
    <w:p w:rsidR="00E62E5F" w:rsidRDefault="002537D0">
      <w:pPr>
        <w:pStyle w:val="ConsPlusNormal0"/>
        <w:jc w:val="center"/>
      </w:pPr>
      <w:r>
        <w:t xml:space="preserve">(в ред. </w:t>
      </w:r>
      <w:hyperlink r:id="rId3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Normal0"/>
        <w:ind w:firstLine="540"/>
        <w:jc w:val="both"/>
      </w:pPr>
      <w:r>
        <w:t>В соответствии с подходами Организации Объединенных Наций по вопросам образования, науки и культуры (ЮНЕСКО) к</w:t>
      </w:r>
      <w:r>
        <w:t>реативные (творческие) индустрии сочетают создание, производство и коммерциализацию товаров и услуг, которые преимущественно основаны на использовании результатов интеллектуальной деятельности.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3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</w:t>
      </w:r>
      <w:r>
        <w:t>о состоянию на 2020 год ярко прослеживается ряд глобальных трендов: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основную долю добавленной стоимости различных товаров и услуг во все большем количестве секторов экономики обеспечивают именно результаты интеллектуальной, творческой деятельности;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во всех</w:t>
      </w:r>
      <w:r>
        <w:t xml:space="preserve"> видах творческой деятельности активно распространяются дистанционные формы работы, а доступность результатов такой работы для создания новых товаров и услуг крайне высока вследствие масштабного внедрения информационно-телекоммуникационных технологий;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расп</w:t>
      </w:r>
      <w:r>
        <w:t>ространение и воспроизводство многих товаров и услуг происходит исключительно в цифровой среде, а унификация материальных производств и развитая транспортная система сделали рынки глобальными.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lastRenderedPageBreak/>
        <w:t>Кризис, связанный с пандемией и сопутствующими ей экономическим</w:t>
      </w:r>
      <w:r>
        <w:t xml:space="preserve">и, технологическими и социальными процессами, определил ряд структурных изменений, которые делают своевременным принятие Концепции. Так, форсированная цифровизация и трансформация структуры занятости населения в целом способствуют росту сектора креативной </w:t>
      </w:r>
      <w:r>
        <w:t>экономики и увеличению его доли в национальной экономике даже в кризисных условиях.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Согласно прогнозам в среднесрочном периоде развитие цифровых технологий (в том числе технологий машинного обучения и искусственного интеллекта, современных технологий произ</w:t>
      </w:r>
      <w:r>
        <w:t>водств) приведет к сокращению до половины существующих рабочих мест.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Одним из наиболее перспективных направлений сохранения рабочих мест и создания новых являются креативные (творческие) индустрии, неразрывно связанные с творческой деятельностью человека, </w:t>
      </w:r>
      <w:r>
        <w:t>которая не может быть автоматизирована. Кроме того, сектор креативных (творческих) индустрий открывает широкие возможности для альтернативной занятости, в том числе для женщин, молодежи и лиц с ограниченными возможностями здоровья, что особенно актуально в</w:t>
      </w:r>
      <w:r>
        <w:t xml:space="preserve"> период кризисных явлений в экономике.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39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Сектор креативных (творческих) индустрий обладает потенциалом создания высокой добавленной стоимости, что делает его привлекательным как для предпринимателе</w:t>
      </w:r>
      <w:r>
        <w:t>й, так и для инвесторов. Для многих направлений сектора характерен относительно низкий барьер входа на рынок, что дает возможность развития своего дела широким слоям населения (в том числе женщинам, лицам с ограниченными возможностями здоровья, людям, прож</w:t>
      </w:r>
      <w:r>
        <w:t>ивающим в сельской местности и в малых городах), позволяет преодолеть ограничения развития, связанные с недостаточным объемом локального рынка и удаленностью места проживания предпринимателя, сохранять человеческий капитал в регионах и муниципальных образо</w:t>
      </w:r>
      <w:r>
        <w:t>ваниях, обеспечить сбалансированное территориальное развитие.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4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Таким образом, креативные (творческие) индустрии можно отнести к гуманитарным секторам экономики.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4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Сектор креативных (творческих) индустрий обеспечивает значимый вклад в мировую экономику: средняя доля сектора креативных (творческих) индустрий в мировом ВВП составляет 6,6 процента, в развитых странах эт</w:t>
      </w:r>
      <w:r>
        <w:t>а доля достигает 8 - 12 процентов при среднегодовом росте в 15 процентов, что существенно превышает средние темпы роста мировой экономики (прогнозируется сохранение этой тенденции в среднесрочном периоде).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4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Однако в Российской Федерации, несмотря на высокий уровень образованности, развития науки и богатое историческое, культурное наследие, потенциал сектора креативной экономики недостаточно реализован - доля </w:t>
      </w:r>
      <w:r>
        <w:t>креативных (творческих) индустрий в экономике Российской Федерации составляет лишь 2,23 процента.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43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Вместе с тем сектор креативных (творческих) индустрий в силу отсутствия привязки к локальному рын</w:t>
      </w:r>
      <w:r>
        <w:t>ку, и обладая существенным экспортным потенциалом, растет.</w:t>
      </w:r>
    </w:p>
    <w:p w:rsidR="00E62E5F" w:rsidRDefault="002537D0">
      <w:pPr>
        <w:pStyle w:val="ConsPlusNormal0"/>
        <w:jc w:val="both"/>
      </w:pPr>
      <w:r>
        <w:lastRenderedPageBreak/>
        <w:t xml:space="preserve">(в ред. </w:t>
      </w:r>
      <w:hyperlink r:id="rId4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Согласно </w:t>
      </w:r>
      <w:hyperlink r:id="rId45" w:tooltip="Распоряжение Правительства РФ от 13.02.2019 N 207-р (ред. от 30.09.2022) &lt;Об утверждении Стратегии пространственного развития Российской Федерации на период до 2025 года&gt; ------------ Утратил силу или отменен {КонсультантПлюс}">
        <w:r>
          <w:rPr>
            <w:color w:val="0000FF"/>
          </w:rPr>
          <w:t>Стратегии</w:t>
        </w:r>
      </w:hyperlink>
      <w:r>
        <w:t xml:space="preserve"> пространственного развити</w:t>
      </w:r>
      <w:r>
        <w:t>я Российской Федерации на период до 2025 года одной из основных проблем пространственного развития Российской Федерации является недостаточное количество центров экономического роста для обеспечения ускорения экономического роста Российской Федерации.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К чи</w:t>
      </w:r>
      <w:r>
        <w:t>слу основных проблем пространственного развития Российской Федерации также отнесены высокая доля малопроизводительных и низкотехнологичных производств в структуре экономик субъектов Российской Федерации, а также низкий уровень предпринимательской активност</w:t>
      </w:r>
      <w:r>
        <w:t>и в большинстве малых и средних городов, на сельских территориях за пределами крупных и крупнейших городских агломераций.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С учетом этих тенденций при реализации </w:t>
      </w:r>
      <w:hyperlink r:id="rId46" w:tooltip="Распоряжение Правительства РФ от 13.02.2019 N 207-р (ред. от 30.09.2022) &lt;Об утверждении Стратегии пространственного развития Российской Федерации на период до 2025 года&gt; ------------ Утратил силу или отменен {КонсультантПлюс}">
        <w:r>
          <w:rPr>
            <w:color w:val="0000FF"/>
          </w:rPr>
          <w:t>Стр</w:t>
        </w:r>
        <w:r>
          <w:rPr>
            <w:color w:val="0000FF"/>
          </w:rPr>
          <w:t>атегии</w:t>
        </w:r>
      </w:hyperlink>
      <w:r>
        <w:t xml:space="preserve"> пространственного развития Российской Федерации на период до 2025 года необходимо фокусироваться и выбирать в качестве приоритетов поддержки виды предпринимательства, базирующиеся на использовании результатов творческой, интеллектуальной деятельност</w:t>
      </w:r>
      <w:r>
        <w:t>и, вне зависимости от конкретных видов экономической деятельности, отраслей экономики и (или) доли материальной (производственной) составляющей в итоговом товаре и услуге.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Приоритетами деятельности органов государственной власти всех уровней должно стать у</w:t>
      </w:r>
      <w:r>
        <w:t>величение доли такого предпринимательства во всех секторах экономики и особенно в тех, которые определены как перспективные экономические специализации субъектов Российской Федерации, а также поэтапное включение креативных (творческих) индустрий в число та</w:t>
      </w:r>
      <w:r>
        <w:t>ких специализаций.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4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Развитие креативных (творческих) индустрий как в стоимостном плане, так и в объеме влечет за собой мультипликативный экономический эффект, выражающийся в том числе в: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4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</w:t>
        </w:r>
        <w:r>
          <w:rPr>
            <w:color w:val="0000FF"/>
          </w:rPr>
          <w:t>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расширении налогооблагаемой базы за счет выхода более качественной, клиент-ориентированной продукции и услуг с большей добавленной стоимостью на местные, региональные и международные рынки;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создании новых</w:t>
      </w:r>
      <w:r>
        <w:t xml:space="preserve"> рабочих мест как в локальных креативных (творческих) индустриях, так и в инвестиционных креативных (творческих) индустриях и росте вклада креативных (творческих) индустрий в экономику страны в целом;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49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</w:t>
      </w:r>
      <w:r>
        <w:t>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сокращении диспропорций социально-экономического развития, в том числе отставания уровня жизни населения сельских территорий от уровня жизни жителей городов, повышении уровня комфортности городской среды, в том числе в крупных и крупнейших городских </w:t>
      </w:r>
      <w:r>
        <w:t>агломерациях, за счет использования потенциала креативных (творческих) индустрий;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5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повышении туристической привлекательности территорий субъектов Российской Федерации, содействии узнаваемости отеч</w:t>
      </w:r>
      <w:r>
        <w:t xml:space="preserve">ественных брендов, создании позитивного имиджа страны за </w:t>
      </w:r>
      <w:r>
        <w:lastRenderedPageBreak/>
        <w:t>рубежом, росте туристического и инвестиционного потенциала как Российской Федерации в целом, так и отдельных регионов.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Title0"/>
        <w:jc w:val="center"/>
        <w:outlineLvl w:val="1"/>
      </w:pPr>
      <w:r>
        <w:t>III. Проблемы и барьеры развития креативных</w:t>
      </w:r>
    </w:p>
    <w:p w:rsidR="00E62E5F" w:rsidRDefault="002537D0">
      <w:pPr>
        <w:pStyle w:val="ConsPlusTitle0"/>
        <w:jc w:val="center"/>
      </w:pPr>
      <w:r>
        <w:t>(творческих) индустрий</w:t>
      </w:r>
    </w:p>
    <w:p w:rsidR="00E62E5F" w:rsidRDefault="002537D0">
      <w:pPr>
        <w:pStyle w:val="ConsPlusNormal0"/>
        <w:jc w:val="center"/>
      </w:pPr>
      <w:r>
        <w:t xml:space="preserve">(в ред. </w:t>
      </w:r>
      <w:hyperlink r:id="rId5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Normal0"/>
        <w:ind w:firstLine="540"/>
        <w:jc w:val="both"/>
      </w:pPr>
      <w:r>
        <w:t>Понятие креативных (творческих) индустрий непосредственно связано с региональной и национальной спецификой, отличается от страны к стране, универсального прикладного понимания креативных (творческих) инду</w:t>
      </w:r>
      <w:r>
        <w:t>стрий в мире не существует. В результате простые, очевидные и сквозные для всех отраслей экономики критерии распознавания компаний, которые относятся к сектору креативной экономики, отсутствуют.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5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Меры государственной поддержки (малого и среднего бизнеса, промышленности, экспорта) сформированы для приоритетных отраслей индустриальной экономики и не учитывают специфику развития креативных (творческих</w:t>
      </w:r>
      <w:r>
        <w:t>) индустрий.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53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 частности, на всех уровнях государственной власти стимулируется приобретение основных средств и оборудования (субсидируются процентные ставки и пр.), но не субсидируется оплата тру</w:t>
      </w:r>
      <w:r>
        <w:t>да, что составляет основу затрат сектора креативной экономики. Создание экосистем поддержки инноваций при всей схожести ориентировано исключительно на технологические проекты (IT-сектор, медицина, фармацевтика, энергетический кластер и пр.).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Федеральные, р</w:t>
      </w:r>
      <w:r>
        <w:t>егиональные и муниципальные программы, за счет которых возможна поддержка, разрознены и не скоординированы. Ведомственный характер финансовых инструментов приводит к тому, что большинство перспективных компаний, создающих продукты на стыке культуры, цифров</w:t>
      </w:r>
      <w:r>
        <w:t>ых технологий, промышленности, оказываются "вне контура" внимания государства.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Налоговое законодательство Российской Федерации и система налогового администрирования не в полной мере учитывают специфику креативного (творческого) предпринимательства - особы</w:t>
      </w:r>
      <w:r>
        <w:t>е механизмы поощрения авторов, а также то, что оборот интеллектуальных прав на стадии создания товара и (или) услуги не создает добавленной стоимости, а монетизация результатов творческого труда происходит, как правило, в момент потребления конечного проду</w:t>
      </w:r>
      <w:r>
        <w:t>кта.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5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Креативные (творческие) индустрии сталкиваются с невозможностью однозначно определить оптимальный режим налогообложения создаваемых продуктов и услуг, у предпринимателей возрастают риски пер</w:t>
      </w:r>
      <w:r>
        <w:t>еквалификации сделок, административных штрафов и других санкций.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55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Креативные (творческие) индустрии критически зависят от защищенности и эффективности управления интеллектуальной собственностью. О</w:t>
      </w:r>
      <w:r>
        <w:t>днако существующие режимы оборота интеллектуальных прав, государственной регистрации сделок с такими правами и механизмы их защиты не позволяют многократно увеличить количество оборачиваемых результатов.</w:t>
      </w:r>
    </w:p>
    <w:p w:rsidR="00E62E5F" w:rsidRDefault="002537D0">
      <w:pPr>
        <w:pStyle w:val="ConsPlusNormal0"/>
        <w:jc w:val="both"/>
      </w:pPr>
      <w:r>
        <w:lastRenderedPageBreak/>
        <w:t xml:space="preserve">(в ред. </w:t>
      </w:r>
      <w:hyperlink r:id="rId5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</w:t>
      </w:r>
      <w:r>
        <w:t>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Недостаточно развиты современные инструменты контрактации и заключения лицензионных договоров, механизмы отслеживания нарушений исключительных прав как в онлайн (незаконное использование товарных знаков, распространение копий авторских моделей оде</w:t>
      </w:r>
      <w:r>
        <w:t xml:space="preserve">жды или цифрового контента), так и в офлайн ("материальный" контрафакт и ввоз продукции, нарушающей интеллектуальные права российских компаний, с других территорий). Недостаточно развита судебная практика в части использования доказательной базы, особенно </w:t>
      </w:r>
      <w:r>
        <w:t>в цифровой среде, объективного и обоснованного определения размера ущерба.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Инфраструктура для развития креативного (творческого) предпринимательства и формирования устойчивых креативных (творческих) индустрий в регионах недостаточно развита. Креативные кла</w:t>
      </w:r>
      <w:r>
        <w:t>стеры, несмотря на высокие риски этого вида предпринимательства, ставятся в один ряд с бизнес- и торговыми центрами.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5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Объем средств, как грантовых, так и возвратных (венчурных, инвестиционных) нед</w:t>
      </w:r>
      <w:r>
        <w:t xml:space="preserve">остаточен для ускоренного развития креативного (творческого) предпринимательства. По данным рейтинга банков за 2018 год и Бюллетеня о текущих экономических тенденциях российской экономики N 43, инвестиции в создание нематериальных активов за счет кредитов </w:t>
      </w:r>
      <w:r>
        <w:t>банков не превышают 0,05 процента. Основным источником квазиинвестиций в развитие креативного (творческого) предпринимательства и поддержки креативных (творческих) индустрий по-прежнему остаются государственные программы, однако их доля в общем потоке инве</w:t>
      </w:r>
      <w:r>
        <w:t>стиций в экономику составляет не более 0,1 процента (23,4 и 26,8 млрд. рублей в 2018 году и 2019 году соответственно).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5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Регионы и города Российской Федерации крайне неравномерно включены в процесс</w:t>
      </w:r>
      <w:r>
        <w:t xml:space="preserve"> развития креативных (творческих) индустрий и коммерциализации результатов интеллектуальной деятельности, зачастую конкурируют между собой вместо развития уникальной специализации и кооперации с учетом сильных сторон друг друга, а подавляющая наблюдаемая с</w:t>
      </w:r>
      <w:r>
        <w:t>татистикой часть результатов интеллектуальной деятельности создается в г. Москве.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59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Крайняя степень неравномерности в оформлении прав на результаты интеллектуальной деятельности и извлечения коммер</w:t>
      </w:r>
      <w:r>
        <w:t>ческого эффекта ведет к негативным последствиям - переезду людей в столичные регионы, расслоению и угрозе потери единого культурно-образовательного пространства, утраты возможностей экономического развития ряда территорий.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Глобальный характер сектора креат</w:t>
      </w:r>
      <w:r>
        <w:t>ивной экономики имеет в качестве оборотной стороны масштабный характер конкуренции за творческие и (или) предпринимательские кадры. Недостаточное внимание развитию и усилению присутствия российских товаров и услуг с высокой долей творческой, интеллектуальн</w:t>
      </w:r>
      <w:r>
        <w:t>ой составляющей на глобальных рынках создает риски оттока капитала и наиболее талантливой мобильной молодежи.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Креативные (творческие) индустрии в России не обеспечивают в полной мере потребности внутреннего рынка, чья емкость превышает возможности отечеств</w:t>
      </w:r>
      <w:r>
        <w:t>енных креативных (творческих) индустрий. Дефицит предложения покрывается за счет импорта, который незначительно сократился с 2015 года преимущественно за счет неблагоприятного изменения курса валют.</w:t>
      </w:r>
    </w:p>
    <w:p w:rsidR="00E62E5F" w:rsidRDefault="002537D0">
      <w:pPr>
        <w:pStyle w:val="ConsPlusNormal0"/>
        <w:jc w:val="both"/>
      </w:pPr>
      <w:r>
        <w:lastRenderedPageBreak/>
        <w:t xml:space="preserve">(в ред. </w:t>
      </w:r>
      <w:hyperlink r:id="rId6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</w:t>
      </w:r>
      <w:r>
        <w:t>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Значительные расстояния и рассредоточенность людей, обладающих необходимыми творческими, исследовательскими, инженерными и предпринимательскими компетенциями, препятствуют созданию целостного, устойчивого и успешного бизнеса (необходимая "критическая м</w:t>
      </w:r>
      <w:r>
        <w:t>асса" специалистов во многих регионах отсутствует).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Этот же вызов создает препятствия для распространения успешного опыта и практик по всей территории страны - расширению рынка культурных практик, технологическому трансферу.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Title0"/>
        <w:jc w:val="center"/>
        <w:outlineLvl w:val="1"/>
      </w:pPr>
      <w:r>
        <w:t>IV. Цели, задачи, приоритеты и принципы государственной</w:t>
      </w:r>
    </w:p>
    <w:p w:rsidR="00E62E5F" w:rsidRDefault="002537D0">
      <w:pPr>
        <w:pStyle w:val="ConsPlusTitle0"/>
        <w:jc w:val="center"/>
      </w:pPr>
      <w:r>
        <w:t>политики развития креативных (творческих) индустрий</w:t>
      </w:r>
    </w:p>
    <w:p w:rsidR="00E62E5F" w:rsidRDefault="002537D0">
      <w:pPr>
        <w:pStyle w:val="ConsPlusTitle0"/>
        <w:jc w:val="center"/>
      </w:pPr>
      <w:r>
        <w:t>и креативного (творческого) предпринимательства</w:t>
      </w:r>
    </w:p>
    <w:p w:rsidR="00E62E5F" w:rsidRDefault="002537D0">
      <w:pPr>
        <w:pStyle w:val="ConsPlusNormal0"/>
        <w:jc w:val="center"/>
      </w:pPr>
      <w:r>
        <w:t xml:space="preserve">(в ред. </w:t>
      </w:r>
      <w:hyperlink r:id="rId6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Normal0"/>
        <w:ind w:firstLine="540"/>
        <w:jc w:val="both"/>
      </w:pPr>
      <w:r>
        <w:t>Целью Концепции является развитие наци</w:t>
      </w:r>
      <w:r>
        <w:t>ональной креативной экономики, основанной на человеческом капитале и историко-культурном наследии народов Российской Федерации.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Концепция определяет необходимый и достаточный набор механизмов для государственной поддержки креативного (творческого) предприн</w:t>
      </w:r>
      <w:r>
        <w:t>имательства в целом, а также создания необходимых условий для формирования и устойчивого развития креативных (творческих) индустрий с учетом "умной" специализации территорий.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6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Механизмы, определен</w:t>
      </w:r>
      <w:r>
        <w:t>ные Концепцией, в равной степени реализуются не только в крупных и крупнейших городских агломерациях, но и в малых городах, и на сельских территориях с учетом присущих таким городам и территориям историко-культурных традиций, материального и нематериальног</w:t>
      </w:r>
      <w:r>
        <w:t>о наследия.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Для достижения указанной цели необходимо решить в том числе следующие задачи: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определить ключевые параметры развития экосистемы креативных (творческих) индустрий, в том числе: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63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исследо</w:t>
      </w:r>
      <w:r>
        <w:t>вать сектор креативных (творческих) индустрий и оценить состояние креативной экономики в Российской Федерации в целом;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6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определить приоритетные креативные (творческие) индустрии в каждом субъекте </w:t>
      </w:r>
      <w:r>
        <w:t>Российской Федерации с учетом особенностей и народных традиций, присущих конкретной территории (локальной идентичности), а также создать условия для развития таких креативных (творческих) индустрий;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65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</w:t>
      </w:r>
      <w:r>
        <w:t>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проанализировать и систематизировать действующие на федеральном, региональном и муниципальном уровнях меры поддержки креативных (творческих) индустрий, определить наиболее эффективные решения и пробелы в таких мерах;</w:t>
      </w:r>
    </w:p>
    <w:p w:rsidR="00E62E5F" w:rsidRDefault="002537D0">
      <w:pPr>
        <w:pStyle w:val="ConsPlusNormal0"/>
        <w:jc w:val="both"/>
      </w:pPr>
      <w:r>
        <w:lastRenderedPageBreak/>
        <w:t xml:space="preserve">(в ред. </w:t>
      </w:r>
      <w:hyperlink r:id="rId6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</w:t>
      </w:r>
      <w:r>
        <w:t>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создать условия для производства, распространения и популяризации товаров и услуг отечественных креативных (творческих) индустрий, в том числе: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6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определить подходы к сове</w:t>
      </w:r>
      <w:r>
        <w:t>ршенствованию нормативно-правового регулирования и финансового обеспечения креативных (творческих) индустрий и креативного (творческого) предпринимательства;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6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определить правовые параметры использования и коммерциализации неиспользуемых объектов организаций народных художественных промыслов и объектов культурного наследия для ведения предпринимательской деятельности;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создать доступную и территориально равномерну</w:t>
      </w:r>
      <w:r>
        <w:t>ю инфраструктуру для креативных (творческих) индустрий, включающую креативные кластеры, креативные (творческие) инкубаторы, центры коллективного пользования специальным оборудованием;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69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создать инк</w:t>
      </w:r>
      <w:r>
        <w:t>люзивную институциональную среду и инфраструктуру, обеспечивающую творческую самореализацию и трудоустройство в секторе креативных (творческих) индустрий женщин, молодежи, а также лиц с ограниченными возможностями здоровья;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7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стимулировать рост числа предпринимателей, включая субъектов малого и среднего предпринимательства, а также увеличение количества рабочих мест в креативных (творческих) индустриях;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7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</w:t>
      </w:r>
      <w:r>
        <w:t>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содействовать созданию и внедрению современных цифровых технологий для создания (производства) и распространения товаров и услуг отечественными креативными (творческими) индустриями;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7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</w:t>
      </w:r>
      <w:r>
        <w:t>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разработать меры по развитию системы образования и развития компетенций, необходимых для креативных (творческих) индустрий и креативного (творческого) предпринимательства, в том числе созданию благоприятных условий для самореализац</w:t>
      </w:r>
      <w:r>
        <w:t>ии женщин, молодежи и лиц с ограниченными возможностями здоровья;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73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развивать международное сотрудничество в области креативных (творческих) индустрий, включая развитие приграничного сотрудничества</w:t>
      </w:r>
      <w:r>
        <w:t xml:space="preserve"> в секторе креативной экономики, содействовать экспорту товаров и услуг отечественных креативных (творческих) индустрий.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7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Приоритетами государственной политики в сфере развития креативных (творчес</w:t>
      </w:r>
      <w:r>
        <w:t>ких) индустрий и креативного (творческого) предпринимательства являются:</w:t>
      </w:r>
    </w:p>
    <w:p w:rsidR="00E62E5F" w:rsidRDefault="002537D0">
      <w:pPr>
        <w:pStyle w:val="ConsPlusNormal0"/>
        <w:jc w:val="both"/>
      </w:pPr>
      <w:r>
        <w:lastRenderedPageBreak/>
        <w:t xml:space="preserve">(в ред. </w:t>
      </w:r>
      <w:hyperlink r:id="rId75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создание благоприятной среды (экосистемы) для креативного (творческого) предпринимательства, включая: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7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создание условий для производства современного оборудования и материалов для креативных (творческих) индустрий, а также информационных систем, сервисов и платформ;</w:t>
      </w:r>
    </w:p>
    <w:p w:rsidR="00E62E5F" w:rsidRDefault="002537D0">
      <w:pPr>
        <w:pStyle w:val="ConsPlusNormal0"/>
        <w:jc w:val="both"/>
      </w:pPr>
      <w:r>
        <w:t xml:space="preserve">(абзац введен </w:t>
      </w:r>
      <w:hyperlink r:id="rId7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РФ от 26.</w:t>
      </w:r>
      <w:r>
        <w:t>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создание условий для развития креативных (творческих) профессий в индустриях, не относящихся к креативным (творческим);</w:t>
      </w:r>
    </w:p>
    <w:p w:rsidR="00E62E5F" w:rsidRDefault="002537D0">
      <w:pPr>
        <w:pStyle w:val="ConsPlusNormal0"/>
        <w:jc w:val="both"/>
      </w:pPr>
      <w:r>
        <w:t xml:space="preserve">(абзац введен </w:t>
      </w:r>
      <w:hyperlink r:id="rId7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создание условий, облегчающих доступ товаров и услу</w:t>
      </w:r>
      <w:r>
        <w:t>г отечественных креативных (творческих) индустрий на рынок, в том числе международный, обеспечивающих их продвижение и популяризацию;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79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формирование инклюзивной среды и инфраструктуры для творческо</w:t>
      </w:r>
      <w:r>
        <w:t>й самореализации женщин, молодежи, а также лиц с ограниченными возможностями здоровья;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совершенствование системы образования и развития компетенций в сфере креативных (творческих) индустрий;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8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создание новых товаров и услуг с высокой добавленной стоимостью, обусловленной использованием результатов творческой, интеллектуальной деятельности, повышение капитализации нематериальных активов российско</w:t>
      </w:r>
      <w:r>
        <w:t>го бизнеса;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увеличение экспорта (расширение рынков) таких продуктов и (или) интеллектуальных прав;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ускоренный переход к новым направлениям "умной специализации"</w:t>
      </w:r>
      <w:r>
        <w:t xml:space="preserve"> регионов, своевременное формирование адекватных тенденциям культурного и научно-технологического развития социально-экономических специализаций;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изменение структуры занятости на территориях субъектов Российской Федерации, обеспечение устойчивости такой за</w:t>
      </w:r>
      <w:r>
        <w:t>нятости и рост налогооблагаемой базы;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повышение уровня экономической связанности и кооперации субъектов Российской Федерации, использование "сильных" сторон (ориентир на "умную специализацию") специализации регионов;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сохранение исторического, культурного н</w:t>
      </w:r>
      <w:r>
        <w:t>аследия, айдентики, традиционных рецептов, включая локальный культурный контекст и сырье, возрождение и развитие народных художественных промыслов, их делокализация и масштабирование, воспроизводство в современных товарах и услугах;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повышение уровня культу</w:t>
      </w:r>
      <w:r>
        <w:t xml:space="preserve">рной связности посредством воссоздания в исторических </w:t>
      </w:r>
      <w:r>
        <w:lastRenderedPageBreak/>
        <w:t>поселениях памятников истории и культуры, исторически ценных градоформирующих объектов, развитие сети историко-культурных заповедников и обеспечение роста циркуляции туристов и представителей креативных</w:t>
      </w:r>
      <w:r>
        <w:t xml:space="preserve"> (творческих) индустрий между территориями;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8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инициирование и (или) встраивание в национальные и международные творческие, технологические, производственно-экономические сети и платформы, в том чис</w:t>
      </w:r>
      <w:r>
        <w:t>ле совместно с Организацией Объединенных Наций по промышленному развитию (ЮНИДО) и международной сетью креативных регионов DC Network;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инициирование совместно с Организацией Объединенных Наций по промышленному развитию (ЮНИДО) создания проекта в сфере подд</w:t>
      </w:r>
      <w:r>
        <w:t>ержки креативных (творческих) индустрий, направленных на развитие и создание сети территорий сохранения и развития традиций и уклада бытования, с учетом опыта стран, входящих в состав Организации Объединенных Наций по промышленному развитию (ЮНИДО);</w:t>
      </w:r>
    </w:p>
    <w:p w:rsidR="00E62E5F" w:rsidRDefault="002537D0">
      <w:pPr>
        <w:pStyle w:val="ConsPlusNormal0"/>
        <w:jc w:val="both"/>
      </w:pPr>
      <w:r>
        <w:t>(в ред</w:t>
      </w:r>
      <w:r>
        <w:t xml:space="preserve">. </w:t>
      </w:r>
      <w:hyperlink r:id="rId8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предотвращение оттока талантов и переход к положительному миграционному и туристическому "сальдо".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Государственная политика в сфере развития креативных (творческих) индустрий и креативного (творческого</w:t>
      </w:r>
      <w:r>
        <w:t>) предпринимательства базируется на следующих принципах: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83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принцип "баланса" - обеспечение государственной поддержки как инициативного креативного (творческого) предпринимательства, так и предприни</w:t>
      </w:r>
      <w:r>
        <w:t>мательства, соответствующего приоритетам перспективной экономической специализации субъектов Российской Федерации и Российской Федерации в целом (отдельных индустрий), а также баланса при развитии необходимой инфраструктуры;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8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</w:t>
      </w:r>
      <w:r>
        <w:t>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принцип "экосистемного подхода" - обеспечение полноты и доступности всех механизмов поддержки креативных (творческих) индустрий и креативного (творческого) предпринимательства на территориях субъектов Российской Федерации, вкл</w:t>
      </w:r>
      <w:r>
        <w:t>ючая не только культурную и экономическую составляющую, но все области и аспекты деятельности;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85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принцип "инвариантности поддержки" - обеспечение доступности механизмов поддержки для всех типов орг</w:t>
      </w:r>
      <w:r>
        <w:t>анизаций - как коммерческих, так и некоммерческих, индивидуальных предпринимателей, самозанятых граждан;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принцип "координации" - синхронизация деятельности по поддержке и "бесшовная" стыковка механизмов поддержки креативных (творческих) индустрий и креатив</w:t>
      </w:r>
      <w:r>
        <w:t>ного (творческого) предпринимательства органами всех ветвей государственной власти;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8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принцип "стимулирования роста инвестиций" - обеспечение изменений экономических показателей, в первую очередь о</w:t>
      </w:r>
      <w:r>
        <w:t xml:space="preserve">бъемов инвестиции в основной капитал креативных (творческих) </w:t>
      </w:r>
      <w:r>
        <w:lastRenderedPageBreak/>
        <w:t>индустрий и стимулирование в случаях, когда это возможно, их перехода из категории локальных креативных (творческих) индустрий в категорию инвестиционных креативных (творческих) индустрий;</w:t>
      </w:r>
    </w:p>
    <w:p w:rsidR="00E62E5F" w:rsidRDefault="002537D0">
      <w:pPr>
        <w:pStyle w:val="ConsPlusNormal0"/>
        <w:jc w:val="both"/>
      </w:pPr>
      <w:r>
        <w:t>(в ред</w:t>
      </w:r>
      <w:r>
        <w:t xml:space="preserve">. </w:t>
      </w:r>
      <w:hyperlink r:id="rId8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принцип "преемственности и инноваций" - опора на этнокультурные, исторические особенности и традиции, включая гарантии прав коренных малочисленных народов, в том числе при создании и масштабировании со</w:t>
      </w:r>
      <w:r>
        <w:t>временных товаров и услуг;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принцип "локализации" - сохранение регионального размещения креативных (творческих) индустрий и креативного (творческого) предпринимательства при глобализации и расширении рынка, в том числе выхода на сетевые и (или) международны</w:t>
      </w:r>
      <w:r>
        <w:t>е платформы.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8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Title0"/>
        <w:jc w:val="center"/>
        <w:outlineLvl w:val="1"/>
      </w:pPr>
      <w:r>
        <w:t>V. Основные направления государственной поддержки</w:t>
      </w:r>
    </w:p>
    <w:p w:rsidR="00E62E5F" w:rsidRDefault="002537D0">
      <w:pPr>
        <w:pStyle w:val="ConsPlusTitle0"/>
        <w:jc w:val="center"/>
      </w:pPr>
      <w:r>
        <w:t>развития креативных (творческих) индустрий и креативного</w:t>
      </w:r>
    </w:p>
    <w:p w:rsidR="00E62E5F" w:rsidRDefault="002537D0">
      <w:pPr>
        <w:pStyle w:val="ConsPlusTitle0"/>
        <w:jc w:val="center"/>
      </w:pPr>
      <w:r>
        <w:t>(творческого) предпринимательства</w:t>
      </w:r>
    </w:p>
    <w:p w:rsidR="00E62E5F" w:rsidRDefault="002537D0">
      <w:pPr>
        <w:pStyle w:val="ConsPlusNormal0"/>
        <w:jc w:val="center"/>
      </w:pPr>
      <w:r>
        <w:t xml:space="preserve">(в ред. </w:t>
      </w:r>
      <w:hyperlink r:id="rId89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Normal0"/>
        <w:ind w:firstLine="540"/>
        <w:jc w:val="both"/>
      </w:pPr>
      <w:r>
        <w:t>Основой всех механизмов государственной поддержки развития креативных (творческих) индустрий является закрепление в законодательстве Российской Федерации понятий, необходимых для развития института креати</w:t>
      </w:r>
      <w:r>
        <w:t>вных (творческих) индустрий и креативного (творческого) предпринимательства.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9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Для ускоренного формирования креативного (творческого) предпринимательства на базе имеющихся учреждений культуры целес</w:t>
      </w:r>
      <w:r>
        <w:t>ообразно закрепить право таких учреждений на создание малых инновационных предприятий по аналогии с механизмом создания таких предприятий в сферах образования и науки.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9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Это позволит усилить роль с</w:t>
      </w:r>
      <w:r>
        <w:t>уществующих учреждений культуры для развития новой креативной (творческой) предпринимательской деятельности, при этом не подменяя ее, а также снизить нагрузку на бюджетную систему.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9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Государственна</w:t>
      </w:r>
      <w:r>
        <w:t>я поддержка развития креативных (творческих) индустрий и креативного (творческого) предпринимательства осуществляется по следующим направлениям: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93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создание территориальной инфраструктуры креативног</w:t>
      </w:r>
      <w:r>
        <w:t>о (творческого) предпринимательства как общего назначения, включая социальную, так и специальной (профессиональной) инфраструктуры, ориентированной на конкретные виды творческой и (или) предпринимательской деятельности;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9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</w:t>
      </w:r>
      <w:r>
        <w:t>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развитие системы знаний и компетенций как творческого, так и предпринимательского характера, включая приглашение специалистов как из России, так и из-за рубежа, для передачи </w:t>
      </w:r>
      <w:r>
        <w:lastRenderedPageBreak/>
        <w:t>неформализованных знаний и навыков;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формирование системы </w:t>
      </w:r>
      <w:r>
        <w:t>информационного обеспечения, включающей в том числе возможность коммерческого и некоммерческого использования элементов историко-культурного, нематериального наследия;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формирование финансовой инфраструктуры, ориентированной на различные стадии зрелости кре</w:t>
      </w:r>
      <w:r>
        <w:t>ативного (творческого) предпринимательства, включая "посевную стадию" (малые гранты), стадию обеспечения устойчивости (венчурную) и стадию масштабирования (выхода на новые рынки);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95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проработка пред</w:t>
      </w:r>
      <w:r>
        <w:t>ложений по уточнению механизмов налогообложения, в том числе совместно с субъектами Российской Федерации, по региональным и местным налогам и налогового администрирования с учетом специфики креативного (творческого) предпринимательства в части создания, ра</w:t>
      </w:r>
      <w:r>
        <w:t>спространения продуктов с высокой долей творческого труда, создания специализированной инфраструктуры;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9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развитие системы сервисного обеспечения правовой охраны сделок с интеллектуальными правами и</w:t>
      </w:r>
      <w:r>
        <w:t xml:space="preserve"> защиты прав результатов интеллектуальной деятельности в онлайн- и офлайн-средах, иных необходимых правовых и финансовых услуг;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создание экосистем, привлекательных для концентрации талантов, реализации амбициозных общественно-государственных проектов, треб</w:t>
      </w:r>
      <w:r>
        <w:t>ующих активной коммуникации и взаимодействия различных людей, территорий, институтов;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развитие экспортной инфраструктуры - сервисное сопровождение экспансии товаров и услуг, содействие экспорту интеллектуальных прав на глобальные рынки.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Создание территориальной инфраструктуры осуществляется посредством реализации в формате государственно-частного партнерства проектов реновации существующих городских жилых районов, скоординированного планирования и развития зеленых насаждений, образующих в</w:t>
      </w:r>
      <w:r>
        <w:t xml:space="preserve"> том числе рекреационные зоны крупных городских агломераций и крупнейших городских агломераций, а также развитие локальных мультимодальных транспортных систем.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Специализированная (профессиональная) инфраструктура для креативного (творческого) предпринимате</w:t>
      </w:r>
      <w:r>
        <w:t>льства формируется за счет: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9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содействия выводу крупных устаревших промышленных предприятий, находящихся в историческом фонде, из центральных частей городов и переводу освободившихся объектов в статус креативных кластеров как определен</w:t>
      </w:r>
      <w:r>
        <w:t>ного типа (кино, анимация, архитектура, дизайн и т.д.), так и кросс-дисциплинарных;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содействия построению полных цепочек создания и дистрибуции товаров и услуг с высокой долей творческого труда;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lastRenderedPageBreak/>
        <w:t>оснащения специальных объектов современным, в том числе высок</w:t>
      </w:r>
      <w:r>
        <w:t>отехнологичным, оборудованием (съемочных и (или) выставочных павильонов, звукозаписывающих студий, дата-центров, помещений для деловой коммуникации и образования), получающих статус центров коллективного пользования;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обеспечения полноценного доступа к цифр</w:t>
      </w:r>
      <w:r>
        <w:t xml:space="preserve">овой инфраструктуре, соответствующей специфическим потребностям креативных секторов (сервисы в сфере интеллектуальной собственности, платформы монетизации творческих продуктов, краудинвестинговые платформы, сервисы консультационной, в том числе правовой и </w:t>
      </w:r>
      <w:r>
        <w:t>бухгалтерской, поддержки стартапов в соответствующей сфере предпринимательства).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Соответствующая инфраструктура должна включать специализированные центры, решающие логистические, продюсерские и дистрибьюторские задачи, задачи управления коллективными товар</w:t>
      </w:r>
      <w:r>
        <w:t>ными знаками, брендами территорий, включая наименования мест происхождения товаров и географические указания, информационно-рекламную поддержку.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 формировании территориальной инфраструктуры целесообразно предусмотреть инклюзивную среду и специализирован</w:t>
      </w:r>
      <w:r>
        <w:t>ные решения для творческой самореализации лиц с ограниченными возможностями здоровья.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Система развития знаний и компетенций как творческих, так и предпринимательских, включает: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развитие креативности, творческого мышления как навыка, а также знакомство с пр</w:t>
      </w:r>
      <w:r>
        <w:t>актиками креативных (творческих) индустрий в рамках основных общеобразовательных программ и (или) дополнительных общеобразовательных программ;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9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внедрение практикоориентированных курсов по созданию</w:t>
      </w:r>
      <w:r>
        <w:t xml:space="preserve"> и (или) продюсированию творческих продуктов, осуществлению предпринимательской деятельности в образовательные программы среднего профессионального образования и образовательные программы высшего образования, расширение перечня таких образовательных програ</w:t>
      </w:r>
      <w:r>
        <w:t>мм и увеличение контрольных цифр приема на обучение по профессиям, специальностям, направлениям подготовки и научным специальностям в сфере креативных (творческих) индустрий за счет бюджетных ассигнований федерального бюджета, бюджетов субъектов Российской</w:t>
      </w:r>
      <w:r>
        <w:t xml:space="preserve"> Федерации и местных бюджетов;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99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увеличение объемов повышения квалификации и профессиональной переподготовки преподавателей в сфере креативных (творческих) индустрий, а также инклюзивного трека и д</w:t>
      </w:r>
      <w:r>
        <w:t>оступной образовательной инфраструктуры для лиц с ограниченными возможностями здоровья;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0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внедрение общественно-профессиональной аккредитации дополнительных профессиональных программ для преподават</w:t>
      </w:r>
      <w:r>
        <w:t>елей среднего профессионального образования и педагогов дополнительного образования детей в сфере культуры и креативных (творческих) индустрий, формирование реестра таких программ;</w:t>
      </w:r>
    </w:p>
    <w:p w:rsidR="00E62E5F" w:rsidRDefault="002537D0">
      <w:pPr>
        <w:pStyle w:val="ConsPlusNormal0"/>
        <w:jc w:val="both"/>
      </w:pPr>
      <w:r>
        <w:t xml:space="preserve">(абзац введен </w:t>
      </w:r>
      <w:hyperlink r:id="rId10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lastRenderedPageBreak/>
        <w:t>содейст</w:t>
      </w:r>
      <w:r>
        <w:t>вие прохождению преподавателями в сфере креативных (творческих) индустрий раз в 3 года стажировок в ведущих креативных компаниях;</w:t>
      </w:r>
    </w:p>
    <w:p w:rsidR="00E62E5F" w:rsidRDefault="002537D0">
      <w:pPr>
        <w:pStyle w:val="ConsPlusNormal0"/>
        <w:jc w:val="both"/>
      </w:pPr>
      <w:r>
        <w:t xml:space="preserve">(абзац введен </w:t>
      </w:r>
      <w:hyperlink r:id="rId10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реализацию просветительских и образовательных проектов по </w:t>
      </w:r>
      <w:r>
        <w:t>основам предпринимательства, в том числе навыкам защиты и коммерциализации прав на результаты интеллектуальной деятельности;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субсидирование приглашения специалистов-практиков как из Российской Федерации, так и из-за рубежа для участия в креативных (творчес</w:t>
      </w:r>
      <w:r>
        <w:t>ких) предпринимательских проектах, в том числе для непосредственной передачи актуальных навыков и знаний, необходимых для работы на глобальном рынке;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03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субсидирование "креативных стажировок" - прог</w:t>
      </w:r>
      <w:r>
        <w:t>рамм, по которым молодые специалисты проходят стажировку и (или) практику в успешных российских и зарубежных организациях, инфраструктурных площадках сектора креативной экономики, а также в специализированных образовательных организациях и у конкретных мас</w:t>
      </w:r>
      <w:r>
        <w:t>теров-наставников;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создание креативных (творческих) инкубаторов на базе как творческих, так и иных профессиональных образовательных организаций и образовательных организаций высшего образования.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0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Система информационного обеспечения, включающая возможность коммерческого и некоммерческого использования элементов историко-культурного, нематериального наследия, формируется за счет создания цифровых копий широкого круга архивных, музейных коллекций, объ</w:t>
      </w:r>
      <w:r>
        <w:t>ектов нематериального наследия и закрепления прав на такие цифровые копии за хранителями соответствующих ценностей, а также их использования для создания современных товаров и услуг.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Финансовая инфраструктура образуется региональными и федеральными фондами и институтами развития. "Бесшовная" поддержка креативного (творческого) предпринимательства и безбарьерный переход между различными источниками поддержки обеспечивается за счет общей</w:t>
      </w:r>
      <w:r>
        <w:t xml:space="preserve"> системы критериев отнесения к креативному (творческому) предпринимательству (вне зависимости от той или иной индустрии) и коллективного договора о взаимном признании экспертизы и оценки эффективности проекта на предыдущей стадии.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05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Особенностью финансовой инфраструктуры, ориентированной на креативные секторы, должна стать интеграция финансовых организаций, частных инвесторов и региональных органов власти для разработки новых моделей </w:t>
      </w:r>
      <w:r>
        <w:t>инвестирования и инвестиционных продуктов (специальные инвестиционные фонды, краудфандинг и краудинвестинг, опционные модели и т.д.).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Кроме того, необходимо обеспечить информационный обмен между креативным (творческим) предпринимательством и инвесторами (н</w:t>
      </w:r>
      <w:r>
        <w:t>апример, создание питчинг-площадок креативных стартапов и развивающегося бизнеса).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0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lastRenderedPageBreak/>
        <w:t>Стадию масштабирования креативного (творческого) предпринимательства обеспечивает институт залога исключительных</w:t>
      </w:r>
      <w:r>
        <w:t xml:space="preserve"> прав на результаты интеллектуальной деятельности. Для его реализации необходимы: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0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внесение изменений в законодательство Российской Федерации, определяющих механизмы регистрации такого залога;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про</w:t>
      </w:r>
      <w:r>
        <w:t>работка вопроса, предусматривающего уточнение положений нормативных и методических документов, позволяющее банкам гибко оценивать качество залога интеллектуальных прав;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создание государственных, в том числе региональных гарантийных фондов, обеспечивающих р</w:t>
      </w:r>
      <w:r>
        <w:t>езервы на покрытие возможных рисков невозврата кредитов.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Необходимым элементом финансовой инфраструктуры является поддержка саморегулируемых организаций, вырабатывающих стандарты работы креативных (творческих) индустрий, системы обеспечения качества и оцен</w:t>
      </w:r>
      <w:r>
        <w:t>ки стоимости креативных (творческих) товаров, услуг, а также интеллектуальных прав.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0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Поддержка креативного (творческого) предпринимательства предполагает работу в следующих направлениях: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09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</w:t>
        </w:r>
        <w:r>
          <w:rPr>
            <w:color w:val="0000FF"/>
          </w:rPr>
          <w:t>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регулирование сделок с интеллектуальными правами для креативных (творческих) индустрий на основе подходов, апробированных в отдельных отраслях (кинопроизводстве, разработке программного обеспечения, изобр</w:t>
      </w:r>
      <w:r>
        <w:t>етательстве);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1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выплаты "справедливых вознаграждений" (компенсационных вознаграждений) авторам, включая изобретателей;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содействие экспорту интеллектуальной собственности при условии несения экспорт</w:t>
      </w:r>
      <w:r>
        <w:t>ером затрат на надлежащую правовую охрану в странах экспорта;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стимулирование внебюджетных инвестиций, в том числе через краудинвестинговые платформы в креативные (творческие) индустрии и снижение их зависимости от бюджетной поддержки.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1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</w:t>
      </w:r>
      <w:r>
        <w:t>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Система сервисного обеспечения охраны прав интеллектуальной деятельности и защиты прав на результаты интеллектуальной деятельности может развиваться за счет реализации проектов в форме государственно-частного партнер</w:t>
      </w:r>
      <w:r>
        <w:t xml:space="preserve">ства, в том числе на базе информационно-телекоммуникационной инфраструктуры управления правами на результаты творческой деятельности, предусмотренной </w:t>
      </w:r>
      <w:hyperlink r:id="rId112" w:tooltip="Указ Президента РФ от 28.06.2021 N 378 &quot;О создании Общероссийской общественно-государственной организации &quot;Российский центр оборота прав на результаты творческой деятельности&quot; {КонсультантПлюс}">
        <w:r>
          <w:rPr>
            <w:color w:val="0000FF"/>
          </w:rPr>
          <w:t>Указом</w:t>
        </w:r>
      </w:hyperlink>
      <w:r>
        <w:t xml:space="preserve"> Президента Российской Федерации от 28 июня 2021 г. N 378 "</w:t>
      </w:r>
      <w:r>
        <w:t xml:space="preserve">О создании Общероссийской общественно-государственной организации "Российский центр оборота прав на результаты творческой деятельности" и </w:t>
      </w:r>
      <w:hyperlink r:id="rId113" w:tooltip="Постановление Правительства РФ от 29.09.2021 N 1644 &quot;Об Общероссийской общественно-государственной организации &quot;Российский центр оборота прав на результаты творческой деятельности&quot; ------------ Утратил силу или отменен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</w:t>
      </w:r>
      <w:r>
        <w:lastRenderedPageBreak/>
        <w:t>Росси</w:t>
      </w:r>
      <w:r>
        <w:t>йской Федерации от 29 сентября 2021 г. N 1644 "Об Общероссийской общественно-государственной организации "Российский центр оборота прав на результаты творческой деятельности".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1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 качестве ключевых</w:t>
      </w:r>
      <w:r>
        <w:t xml:space="preserve"> сервисов различными компаниями развиваются и предоставляются сервисы депонирования, фиксации авторских и смежных прав, цифровые сервисы по защите и охране прав на результаты интеллектуальной деятельности на территории Евразийского экономического союза и в</w:t>
      </w:r>
      <w:r>
        <w:t xml:space="preserve"> других странах, сервисы формирования "портфелей прав", сделок с ними, включая коммерческую концессию, франчайзинг.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Списки лицензиатов используются для проактивного удаления и (или) блокировки нелегального контента и сведений о промышленных товарах в инфор</w:t>
      </w:r>
      <w:r>
        <w:t>мационно-телекоммуникационной сети "Интернет" с участием операторов поисковых систем, органов судебной власти и Федеральной службы по надзору в сфере связи, информационных технологий и массовых коммуникаций. Аналогичные сервисы строятся для товарных рынков</w:t>
      </w:r>
      <w:r>
        <w:t xml:space="preserve"> с участием Федеральной таможенной службы, Министерства внутренних дел Российской Федерации.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Для случаев, когда управление интеллектуальными правами затруднено или когда оценить потенциал дохода продукта на стадии формирования творческого результата, лежащего в его основе, невозможно, расширяются механизмы "справедливых вознаграждений" - поощрител</w:t>
      </w:r>
      <w:r>
        <w:t>ьных стимулирующих выплат авторам, создателям наиболее востребованных произведений и иных результатов.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Формирование экосистем для концентрации талантов осуществляется посредством реализации амбициозных сетевых общественно-государственных проектов в следующ</w:t>
      </w:r>
      <w:r>
        <w:t>их направлениях: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архитектура, современное градостроительство и "умный" город (поселок);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цифровые продукты и технологии для получения нового культурного опыта - путешествий, доступа к музейным коллекциям, выставкам, архитектурным и ландшафтным памятникам как в режиме виртуальной, так и дополненной реальности (задача - сбалансировать рынки услу</w:t>
      </w:r>
      <w:r>
        <w:t>г, доступные в реальной среде, а также виртуальной и дополненной реальности для обеспечения устойчивости креативной экономики в ситуациях, аналогичных локдауну 2020 года);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разработки "человекоцентричных" продуктов - функционального питания (гастрономия, "д</w:t>
      </w:r>
      <w:r>
        <w:t>изайн еды"), современной одежды, средств мониторинга здоровья и здоровьесбережения, медиаконтента и развлечений, включая разнообразные события и фестивали.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Соответствующие проекты реализуются посредством сочетания креативного (творческого) и технологическо</w:t>
      </w:r>
      <w:r>
        <w:t xml:space="preserve">го предпринимательства в симбиозе с реализацией </w:t>
      </w:r>
      <w:hyperlink r:id="rId115" w:tooltip="Указ Президента РФ от 01.12.2016 N 642 (ред. от 15.03.2021) &quot;О Стратегии научно-технологического развития Российской Федерации&quot; ------------ Утратил силу или отменен {КонсультантПлюс}">
        <w:r>
          <w:rPr>
            <w:color w:val="0000FF"/>
          </w:rPr>
          <w:t>Стратегии</w:t>
        </w:r>
      </w:hyperlink>
      <w:r>
        <w:t xml:space="preserve"> научно-технологического развития Российской Федерации и Национальной технологической инициативы.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1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</w:t>
      </w:r>
      <w:r>
        <w:t>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Сервисное сопровождение экспансии товаров и услуг, экспорта интеллектуальных прав на глобальном рынке создается в рамках национального </w:t>
      </w:r>
      <w:hyperlink r:id="rId117" w:tooltip="&quot;Паспорт национального проекта (программы) &quot;Международная кооперация и экспорт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color w:val="0000FF"/>
          </w:rPr>
          <w:t>проекта</w:t>
        </w:r>
      </w:hyperlink>
      <w:r>
        <w:t xml:space="preserve"> "Международная кооперация и эксп</w:t>
      </w:r>
      <w:r>
        <w:t>орт" и включает: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lastRenderedPageBreak/>
        <w:t>поддержку участия в профессиональных выставках и международных конкурсах, в том числе лиц с ограниченными возможностями здоровья;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содействие в охране и защите интеллектуальных прав на зарубежных рынках, распространении (дистрибуции) продук</w:t>
      </w:r>
      <w:r>
        <w:t>тов на международных и зарубежных платформах;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содействие международному франчайзингу, образованию экспортных консорциумов;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взаимодействие с деловыми акселераторами и объединениями, международным инвестиционным сообществом.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Перечисленные меры могут применят</w:t>
      </w:r>
      <w:r>
        <w:t>ься как к широкому кругу креативных (творческих) индустрий и креативного (творческого) предпринимательства, так и адресно с учетом следующих критериев: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1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определенной группы креативных (творческих)</w:t>
      </w:r>
      <w:r>
        <w:t xml:space="preserve"> индустрий с учетом Общероссийского </w:t>
      </w:r>
      <w:hyperlink r:id="rId119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{КонсультантПлюс}">
        <w:r>
          <w:rPr>
            <w:color w:val="0000FF"/>
          </w:rPr>
          <w:t>классификатора</w:t>
        </w:r>
      </w:hyperlink>
      <w:r>
        <w:t xml:space="preserve"> видов экономической деятельности (ОКВЭД);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2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видов результатов интеллектуальной деятельности, которые используются при с</w:t>
      </w:r>
      <w:r>
        <w:t>оздании продукта (товара, услуги);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определенной стадии развития бизнеса в соответствии с международной классификацией стадий бизнеса GEM;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конкретного социального портрета предпринимателя (социальное, женское, молодежное предпринимательство и пр.).</w:t>
      </w:r>
    </w:p>
    <w:p w:rsidR="00E62E5F" w:rsidRDefault="00E62E5F">
      <w:pPr>
        <w:pStyle w:val="ConsPlusNormal0"/>
        <w:jc w:val="center"/>
      </w:pPr>
    </w:p>
    <w:p w:rsidR="00E62E5F" w:rsidRDefault="002537D0">
      <w:pPr>
        <w:pStyle w:val="ConsPlusTitle0"/>
        <w:jc w:val="center"/>
        <w:outlineLvl w:val="1"/>
      </w:pPr>
      <w:r>
        <w:t>VI. Мех</w:t>
      </w:r>
      <w:r>
        <w:t>анизмы реализации Концепции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Normal0"/>
        <w:ind w:firstLine="540"/>
        <w:jc w:val="both"/>
      </w:pPr>
      <w:r>
        <w:t xml:space="preserve">Реализация Концепции обеспечивается согласованными действиями федеральных органов исполнительной власти, органов власти субъектов Российской Федерации, органов местного самоуправления, а также организаций, предпринимательского </w:t>
      </w:r>
      <w:r>
        <w:t>и профессионального сообществ.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Основным механизмом реализации Концепции является </w:t>
      </w:r>
      <w:hyperlink r:id="rId121" w:tooltip="Распоряжение Правительства РФ от 17.08.2022 N 2290-р (ред. от 26.01.2024) &lt;О Плане мероприятий по реализации в 2022 - 2025 годах Концепции развития креативных (творческих) индустрий и механизмов осуществления их государственной поддержки до 2030 года&gt; {Консуль">
        <w:r>
          <w:rPr>
            <w:color w:val="0000FF"/>
          </w:rPr>
          <w:t>план</w:t>
        </w:r>
      </w:hyperlink>
      <w:r>
        <w:t xml:space="preserve"> ее реализации, разрабатываемый Министерством</w:t>
      </w:r>
      <w:r>
        <w:t xml:space="preserve"> культуры Российской Федерации совместно с заинтересованными федеральными органами исполнительной власти, исполнительными органами субъектов Российской Федерации, организациями, предусматривающий конкретные мероприятия, в том числе по внесению изменений в </w:t>
      </w:r>
      <w:r>
        <w:t>законодательство Российской Федерации, государственные программы Российской Федерации и национальные проекты, а также порядок координации деятельности и взаимодействия в сфере креативных (творческих) индустрий, который утверждается Правительством Российско</w:t>
      </w:r>
      <w:r>
        <w:t>й Федерации.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2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Для эффективной реализации Концепции необходима проработка возможности корректировки отдельных мероприятий национальных проектов и государственных программ, в том числе: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lastRenderedPageBreak/>
        <w:t>развитие тер</w:t>
      </w:r>
      <w:r>
        <w:t xml:space="preserve">риториальной инфраструктуры креативных (творческих) индустрий осуществляется в рамках приоритетного </w:t>
      </w:r>
      <w:hyperlink r:id="rId123" w:tooltip="&quot;Паспорт приоритетного проекта &quot;Формирование комфортной городской среды&quot; (утв. президиумом Совета при Президенте РФ по стратегическому развитию и приоритетным проектам, протокол от 18.04.2017 N 5) {КонсультантПлюс}">
        <w:r>
          <w:rPr>
            <w:color w:val="0000FF"/>
          </w:rPr>
          <w:t>проекта</w:t>
        </w:r>
      </w:hyperlink>
      <w:r>
        <w:t xml:space="preserve"> "Формирование комфортной городской среды", федерального </w:t>
      </w:r>
      <w:hyperlink r:id="rId124" w:tooltip="&quot;Паспорт федерального проекта &quot;Дорожная сеть&quot; (утв. протоколом заседания проектного комитета по национальному проекту &quot;Безопасные и качественные автомобильные дороги&quot; от 20.12.2018 N 4) {КонсультантПлюс}">
        <w:r>
          <w:rPr>
            <w:color w:val="0000FF"/>
          </w:rPr>
          <w:t>проекта</w:t>
        </w:r>
      </w:hyperlink>
      <w:r>
        <w:t xml:space="preserve"> "Дорожная сеть" национального </w:t>
      </w:r>
      <w:hyperlink r:id="rId125" w:tooltip="&quot;Паспорт национального проекта &quot;Безопасные и качественные автомобильные дороги&quot; (утв. президиумом Совета при Президенте РФ по стратегическому развитию и национальным проектам, протокол от 24.12.2018 N 15) {КонсультантПлюс}">
        <w:r>
          <w:rPr>
            <w:color w:val="0000FF"/>
          </w:rPr>
          <w:t>проекта</w:t>
        </w:r>
      </w:hyperlink>
      <w:r>
        <w:t xml:space="preserve"> "Безопасные и качественные автомобильные дороги", государственных программ Российской Фед</w:t>
      </w:r>
      <w:r>
        <w:t>ерации "</w:t>
      </w:r>
      <w:hyperlink r:id="rId126" w:tooltip="Постановление Правительства РФ от 30.12.2017 N 1710 (ред. от 23.12.2025) &quot;Об утверждении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color w:val="0000FF"/>
          </w:rPr>
          <w:t>Обеспечение</w:t>
        </w:r>
      </w:hyperlink>
      <w:r>
        <w:t xml:space="preserve"> доступным и комфортным жильем и коммунальными услугами граждан Российской Федерации" и "Комплексное </w:t>
      </w:r>
      <w:hyperlink r:id="rId127" w:tooltip="Постановление Правительства РФ от 31.05.2019 N 696 (ред. от 27.01.2026) &quot;Об утверждении государственной программы Российской Федерации &quot;Комплексное развитие сельских территорий&quot; и о внесении изменений в некоторые акты Правительства Российской Федерации&quot; {Консу">
        <w:r>
          <w:rPr>
            <w:color w:val="0000FF"/>
          </w:rPr>
          <w:t>развитие</w:t>
        </w:r>
      </w:hyperlink>
      <w:r>
        <w:t xml:space="preserve"> сельских территорий";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28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развитие финансовой инфраструктуры обеспечивается в рамках национального </w:t>
      </w:r>
      <w:hyperlink r:id="rId129" w:tooltip="&quot;Паспорт национального проекта &quot;Национальный проект &quot;Малое и среднее предпринимательство и поддержка индивидуальной предпринимательской инициативы&quot; {КонсультантПлюс}">
        <w:r>
          <w:rPr>
            <w:color w:val="0000FF"/>
          </w:rPr>
          <w:t>проекта</w:t>
        </w:r>
      </w:hyperlink>
      <w:r>
        <w:t xml:space="preserve"> "Малое и среднее предпринимательство и поддержка индивидуальной предпринимательской инициативы", федерального </w:t>
      </w:r>
      <w:hyperlink r:id="rId130" w:tooltip="&quot;Паспорт федерального проекта &quot;Системные меры по повышению производительности труда&quot; (приложение N 1 к протоколу заседания проектного комитета по национальному проекту &quot;Производительность труда и поддержка занятости&quot; от 18.12.2018 N 4) {КонсультантПлюс}">
        <w:r>
          <w:rPr>
            <w:color w:val="0000FF"/>
          </w:rPr>
          <w:t>проекта</w:t>
        </w:r>
      </w:hyperlink>
      <w:r>
        <w:t xml:space="preserve"> "Системные меры по повышению производительности труда" национального </w:t>
      </w:r>
      <w:hyperlink r:id="rId131" w:tooltip="&quot;Паспорт национального проекта (программы) &quot;Производительность труда и поддержка занятости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color w:val="0000FF"/>
          </w:rPr>
          <w:t>проекта</w:t>
        </w:r>
      </w:hyperlink>
      <w:r>
        <w:t xml:space="preserve"> "Производительность труда и поддержка</w:t>
      </w:r>
      <w:r>
        <w:t xml:space="preserve"> занятости", а также государственных программ Российской Федерации "</w:t>
      </w:r>
      <w:hyperlink r:id="rId132" w:tooltip="Постановление Правительства РФ от 15.04.2014 N 298 (ред. от 19.12.2025) &quot;Об утверждении государственной программы Российской Федерации &quot;Содействие занятости населения&quot; (с изм. и доп., вступ. в силу с 01.01.2026) {КонсультантПлюс}">
        <w:r>
          <w:rPr>
            <w:color w:val="0000FF"/>
          </w:rPr>
          <w:t>Содействие</w:t>
        </w:r>
      </w:hyperlink>
      <w:r>
        <w:t xml:space="preserve"> занятости населения" и "</w:t>
      </w:r>
      <w:hyperlink r:id="rId133" w:tooltip="Постановление Правительства РФ от 15.04.2014 N 328 (ред. от 29.12.2025) &quot;Об утверждении государственной программы Российской Федерации &quot;Развитие промышленности и повышение ее конкурентоспособности&quot; (с изм. и доп., вступ. в силу с 01.01.2026) {КонсультантПлюс}">
        <w:r>
          <w:rPr>
            <w:color w:val="0000FF"/>
          </w:rPr>
          <w:t>Развитие</w:t>
        </w:r>
      </w:hyperlink>
      <w:r>
        <w:t xml:space="preserve"> промышленности и повышение ее конкурентоспособности";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реализация необходимого сервисного обеспечения для управления и защиты прав интеллектуальной собственности в рамках федер</w:t>
      </w:r>
      <w:r>
        <w:t xml:space="preserve">ального </w:t>
      </w:r>
      <w:hyperlink r:id="rId134" w:tooltip="&quot;Паспорт федерального проекта &quot;Информационная инфраструктура&quot; (утв. президиумом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, протокол ">
        <w:r>
          <w:rPr>
            <w:color w:val="0000FF"/>
          </w:rPr>
          <w:t>проекта</w:t>
        </w:r>
      </w:hyperlink>
      <w:r>
        <w:t xml:space="preserve"> "Информационная инфраструктура" национальной </w:t>
      </w:r>
      <w:hyperlink r:id="rId135" w:tooltip="&quot;Паспорт национального проекта &quot;Национальная программа &quot;Цифровая экономика Российской Федерации&quot; (утв. президиумом Совета при Президенте РФ по стратегическому развитию и национальным проектам, протокол от 04.06.2019 N 7) {КонсультантПлюс}">
        <w:r>
          <w:rPr>
            <w:color w:val="0000FF"/>
          </w:rPr>
          <w:t>программы</w:t>
        </w:r>
      </w:hyperlink>
      <w:r>
        <w:t xml:space="preserve"> "Цифровая экономика Российской Федерации", государственной </w:t>
      </w:r>
      <w:hyperlink r:id="rId136" w:tooltip="Постановление Правительства РФ от 15.04.2014 N 313 (ред. от 19.12.2025) &quot;Об утверждении государственной программы Российской Федерации &quot;Информационное общество&quot; {КонсультантПлюс}">
        <w:r>
          <w:rPr>
            <w:color w:val="0000FF"/>
          </w:rPr>
          <w:t>программы</w:t>
        </w:r>
      </w:hyperlink>
      <w:r>
        <w:t xml:space="preserve"> Российской Федерации "Информационное общество";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поддержка кооперации и экспорта в рамках национального </w:t>
      </w:r>
      <w:hyperlink r:id="rId137" w:tooltip="&quot;Паспорт национального проекта (программы) &quot;Международная кооперация и экспорт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color w:val="0000FF"/>
          </w:rPr>
          <w:t>проекта</w:t>
        </w:r>
      </w:hyperlink>
      <w:r>
        <w:t xml:space="preserve"> "Международная кооперация и экспорт", государственных программ Российской Федерации "Экономическое </w:t>
      </w:r>
      <w:hyperlink r:id="rId138" w:tooltip="Постановление Правительства РФ от 15.04.2014 N 316 (ред. от 24.12.2025) &quot;Об утверждении государственной программы Российской Федерации &quot;Экономическое развитие и инновационная экономика&quot; (с изм. и доп., вступ. в силу с 31.01.2026) {КонсультантПлюс}">
        <w:r>
          <w:rPr>
            <w:color w:val="0000FF"/>
          </w:rPr>
          <w:t>развитие</w:t>
        </w:r>
      </w:hyperlink>
      <w:r>
        <w:t xml:space="preserve"> и инновационная экономика" и "</w:t>
      </w:r>
      <w:hyperlink r:id="rId139" w:tooltip="Постановление Правительства РФ от 15.04.2014 N 330 (ред. от 31.03.2021) &quot;Об утверждении государственной программы Российской Федерации &quot;Развитие внешнеэкономической деятельности&quot; ------------ Утратил силу или отменен {КонсультантПлюс}">
        <w:r>
          <w:rPr>
            <w:color w:val="0000FF"/>
          </w:rPr>
          <w:t>Развитие</w:t>
        </w:r>
      </w:hyperlink>
      <w:r>
        <w:t xml:space="preserve"> внешнеэкономической деятельности".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Для формирования полноценной институциональной среды для разв</w:t>
      </w:r>
      <w:r>
        <w:t>ития креативных (творческих) индустрий и креативного (творческого) предпринимательства необходимо задействовать в том числе следующие программы и организационные инструменты: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4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развитие системы налогообложения и налогового администрирования - федеральный </w:t>
      </w:r>
      <w:hyperlink r:id="rId141" w:tooltip="&quot;Паспорт федерального проекта &quot;Нормативное регулирование цифровой среды&quot; {КонсультантПлюс}">
        <w:r>
          <w:rPr>
            <w:color w:val="0000FF"/>
          </w:rPr>
          <w:t>проект</w:t>
        </w:r>
      </w:hyperlink>
      <w:r>
        <w:t xml:space="preserve"> "Нормативное регулирование цифровой среды" национальной </w:t>
      </w:r>
      <w:hyperlink r:id="rId142" w:tooltip="&quot;Паспорт национального проекта &quot;Национальная программа &quot;Цифровая экономика Российской Федерации&quot; (утв. президиумом Совета при Президенте РФ по стратегическому развитию и национальным проектам, протокол от 04.06.2019 N 7) {КонсультантПлюс}">
        <w:r>
          <w:rPr>
            <w:color w:val="0000FF"/>
          </w:rPr>
          <w:t>программы</w:t>
        </w:r>
      </w:hyperlink>
      <w:r>
        <w:t xml:space="preserve"> "Цифровая экономика Российско</w:t>
      </w:r>
      <w:r>
        <w:t>й Федерации", механизм управления системными изменениями предпринимательской среды "Трансформация делового климата";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обеспечение доступа к информации, включая нематериальное и историко-культурное наследие, - национальные проекты "Наука и университеты", </w:t>
      </w:r>
      <w:hyperlink r:id="rId143" w:tooltip="&quot;Паспорт национального проекта &quot;Культура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color w:val="0000FF"/>
          </w:rPr>
          <w:t>"Культура"</w:t>
        </w:r>
      </w:hyperlink>
      <w:r>
        <w:t>, а также государственные программы Российской Федерации "</w:t>
      </w:r>
      <w:hyperlink r:id="rId144" w:tooltip="Постановление Правительства РФ от 15.04.2014 N 317 (ред. от 25.12.2025) &quot;Об утверждении государственной программы Российской Федерации &quot;Развитие культуры&quot; (с изм. и доп., вступ. в силу с 01.01.2026) {КонсультантПлюс}">
        <w:r>
          <w:rPr>
            <w:color w:val="0000FF"/>
          </w:rPr>
          <w:t>Развитие</w:t>
        </w:r>
      </w:hyperlink>
      <w:r>
        <w:t xml:space="preserve"> культуры" и "</w:t>
      </w:r>
      <w:hyperlink r:id="rId145" w:tooltip="Постановление Правительства РФ от 29.12.2016 N 1532 (ред. от 19.11.2025) &quot;Об утверждении государственной программы Российской Федерации &quot;Реализация государственной национальной политики&quot; {КонсультантПлюс}">
        <w:r>
          <w:rPr>
            <w:color w:val="0000FF"/>
          </w:rPr>
          <w:t>Реализация</w:t>
        </w:r>
      </w:hyperlink>
      <w:r>
        <w:t xml:space="preserve"> государственной национальной политики";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развитие знаний и компетенций - национальный </w:t>
      </w:r>
      <w:hyperlink r:id="rId146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color w:val="0000FF"/>
          </w:rPr>
          <w:t>проект</w:t>
        </w:r>
      </w:hyperlink>
      <w:r>
        <w:t xml:space="preserve"> "Образование", государственная </w:t>
      </w:r>
      <w:hyperlink r:id="rId147" w:tooltip="Постановление Правительства РФ от 26.12.2017 N 1642 (ред. от 17.12.2025) &quot;Об утверждении государственной программы Российской Федерации &quot;Развитие образования&quot; (с изм. и доп., вступ. в силу с 01.01.2026) {КонсультантПлюс}">
        <w:r>
          <w:rPr>
            <w:color w:val="0000FF"/>
          </w:rPr>
          <w:t>программа</w:t>
        </w:r>
      </w:hyperlink>
      <w:r>
        <w:t xml:space="preserve"> Российской Федерации "Развитие образования";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обеспечение условий для концентрации талантов в субъектах Российской Федерации, крупнейших и крупных городских агломерациях - национальные проекты "Наука и университеты" и </w:t>
      </w:r>
      <w:hyperlink r:id="rId148" w:tooltip="&quot;Паспорт национального проекта &quot;Культура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color w:val="0000FF"/>
          </w:rPr>
          <w:t>"Культура"</w:t>
        </w:r>
      </w:hyperlink>
      <w:r>
        <w:t xml:space="preserve">, приоритетный </w:t>
      </w:r>
      <w:hyperlink r:id="rId149" w:tooltip="&quot;Паспорт приоритетного проекта &quot;Формирование комфортной городской среды&quot; (утв. президиумом Совета при Президенте РФ по стратегическому развитию и приоритетным проектам, протокол от 18.04.2017 N 5) {КонсультантПлюс}">
        <w:r>
          <w:rPr>
            <w:color w:val="0000FF"/>
          </w:rPr>
          <w:t>проект</w:t>
        </w:r>
      </w:hyperlink>
      <w:r>
        <w:t xml:space="preserve"> "Формирование комфортной городской среды", государственная </w:t>
      </w:r>
      <w:hyperlink r:id="rId150" w:tooltip="Постановление Правительства РФ от 29.03.2019 N 377 (ред. от 15.05.2025) &quot;Об утверждении государственной программы Российской Федерации &quot;Научно-технологическое развитие Российской Федерации&quot; {КонсультантПлюс}">
        <w:r>
          <w:rPr>
            <w:color w:val="0000FF"/>
          </w:rPr>
          <w:t>прогр</w:t>
        </w:r>
        <w:r>
          <w:rPr>
            <w:color w:val="0000FF"/>
          </w:rPr>
          <w:t>амма</w:t>
        </w:r>
      </w:hyperlink>
      <w:r>
        <w:t xml:space="preserve"> Российской Федерации "Научно-технологическое развитие Российской Федерации" и Государственная </w:t>
      </w:r>
      <w:hyperlink r:id="rId151" w:tooltip="Постановление Правительства РФ от 14.07.2012 N 717 (ред. от 27.01.2026) &quot;О Государственной программе развития сельского хозяйства и регулирования рынков сельскохозяйственной продукции, сырья и продовольствия&quot; {КонсультантПлюс}">
        <w:r>
          <w:rPr>
            <w:color w:val="0000FF"/>
          </w:rPr>
          <w:t>программа</w:t>
        </w:r>
      </w:hyperlink>
      <w:r>
        <w:t xml:space="preserve"> развития сельского хозяйства и регулирования рынков с</w:t>
      </w:r>
      <w:r>
        <w:t>ельскохозяйственной продукции, сырья и продовольствия.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lastRenderedPageBreak/>
        <w:t>Мероприятия по реализации Концепции учитываются при формировании и корректировке национальных проектов и государственных программ Российской Федерации. Финансовое обеспечение реализации Концепции осуще</w:t>
      </w:r>
      <w:r>
        <w:t>ствляется за счет средств, предусмотренных на реализацию национальных проектов, государственных программ Российской Федерации, выделения специального направления грантовой поддержки, а также за счет внебюджетных источников.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Title0"/>
        <w:jc w:val="center"/>
        <w:outlineLvl w:val="1"/>
      </w:pPr>
      <w:r>
        <w:t>VII. Сценарии развития креативн</w:t>
      </w:r>
      <w:r>
        <w:t>ых (творческих) индустрий</w:t>
      </w:r>
    </w:p>
    <w:p w:rsidR="00E62E5F" w:rsidRDefault="002537D0">
      <w:pPr>
        <w:pStyle w:val="ConsPlusTitle0"/>
        <w:jc w:val="center"/>
      </w:pPr>
      <w:r>
        <w:t>и этапы реализации Концепции</w:t>
      </w:r>
    </w:p>
    <w:p w:rsidR="00E62E5F" w:rsidRDefault="002537D0">
      <w:pPr>
        <w:pStyle w:val="ConsPlusNormal0"/>
        <w:jc w:val="center"/>
      </w:pPr>
      <w:r>
        <w:t xml:space="preserve">(в ред. </w:t>
      </w:r>
      <w:hyperlink r:id="rId15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Normal0"/>
        <w:ind w:firstLine="540"/>
        <w:jc w:val="both"/>
      </w:pPr>
      <w:r>
        <w:t xml:space="preserve">С учетом положений </w:t>
      </w:r>
      <w:hyperlink r:id="rId153" w:tooltip="Распоряжение Правительства РФ от 13.02.2019 N 207-р (ред. от 30.09.2022) &lt;Об утверждении Стратегии пространственного развития Российской Федерации на период до 2025 года&gt; ------------ Утратил силу или отменен {КонсультантПлюс}">
        <w:r>
          <w:rPr>
            <w:color w:val="0000FF"/>
          </w:rPr>
          <w:t>Стратегии</w:t>
        </w:r>
      </w:hyperlink>
      <w:r>
        <w:t xml:space="preserve"> пространственного </w:t>
      </w:r>
      <w:r>
        <w:t>развития Российской Федерации на период до 2025 года при реализации Концепции возможны два альтернативных сценария развития креативных (творческих) индустрий в Российской Федерации - инерционный или форсированный (целевой).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5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Инерционный сценарий развития креативных (творческих) индустрий предполагает сохранение текущих тенденций и слабый, естественный рост сектора креативной экономики.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55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</w:t>
      </w:r>
      <w:r>
        <w:t xml:space="preserve">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Форсированный (целевой) сценарий предполагает скоординированную реализацию мероприятий в рамках направлений и с учетом принципов и механизмов, определенных Концепцией, и предусматривает существенное увеличение вклада креативных (творческих) индус</w:t>
      </w:r>
      <w:r>
        <w:t>трий в национальный ВВП, рост экспорта креативных (творческих) товаров и услуг, рост числа рабочих мест в секторе креативной экономики и количества субъектов, относящихся к креативному (творческому) предпринимательству, их широкое сотрудничество с организа</w:t>
      </w:r>
      <w:r>
        <w:t>циями культуры любой ведомственной принадлежности и форм собственности, хозяйственное освоение и вовлечение в оборот объектов материального и нематериального культурного наследия народов Российской Федерации, развитие всех направлений культурной деятельнос</w:t>
      </w:r>
      <w:r>
        <w:t>ти.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5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Реализация Концепции осуществляется в два этапа. На первом этапе предполагается введение необходимых критериев креативного (творческого) предпринимательства, реализация аналитических, проектн</w:t>
      </w:r>
      <w:r>
        <w:t>ых и организационных мероприятий. На втором - реализация крупных сетевых общественно-государственных проектов, способствующих концентрации и реализации талантов, достижению мультипликативного эффекта от создаваемых результатов интеллектуальной деятельности</w:t>
      </w:r>
      <w:r>
        <w:t xml:space="preserve"> и статистически заметное увеличение показателей инвестиций в основной капитал.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57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Title0"/>
        <w:jc w:val="center"/>
        <w:outlineLvl w:val="1"/>
      </w:pPr>
      <w:r>
        <w:t>VIII. Ожидаемые результаты и мониторинг реализации Концепции</w:t>
      </w:r>
    </w:p>
    <w:p w:rsidR="00E62E5F" w:rsidRDefault="00E62E5F">
      <w:pPr>
        <w:pStyle w:val="ConsPlusNormal0"/>
        <w:ind w:firstLine="540"/>
        <w:jc w:val="both"/>
      </w:pPr>
    </w:p>
    <w:p w:rsidR="00E62E5F" w:rsidRDefault="002537D0">
      <w:pPr>
        <w:pStyle w:val="ConsPlusNormal0"/>
        <w:ind w:firstLine="540"/>
        <w:jc w:val="both"/>
      </w:pPr>
      <w:r>
        <w:t xml:space="preserve">Мониторинг реализации Концепции осуществляется в рамках общего мониторинга реализации </w:t>
      </w:r>
      <w:hyperlink r:id="rId158" w:tooltip="Распоряжение Правительства РФ от 13.02.2019 N 207-р (ред. от 30.09.2022) &lt;Об утверждении Стратегии пространственного развития Российской Федерации на период до 2025 года&gt; ------------ Утратил силу или отменен {КонсультантПлюс}">
        <w:r>
          <w:rPr>
            <w:color w:val="0000FF"/>
          </w:rPr>
          <w:t>Стратегии</w:t>
        </w:r>
      </w:hyperlink>
      <w:r>
        <w:t xml:space="preserve"> пространственного развития Российской Федерации на период до 2025 го</w:t>
      </w:r>
      <w:r>
        <w:t>да, в том числе: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lastRenderedPageBreak/>
        <w:t>при оценке объемов нематериальных активов и динамики налоговой базы по региональным и местным налогам, а также федеральным налогам в части, зачисляемой в бюджеты субъектов Российской Федерации и местные бюджеты;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по показателям инвестиций в</w:t>
      </w:r>
      <w:r>
        <w:t xml:space="preserve"> основной капитал по экономике субъектов Российской Федерации в целом, а также в соответствии с их перспективными экономическими специализациями;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исходя из динамики валового регионального продукта.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Применяются существующие подходы к оценке прибыли и доходо</w:t>
      </w:r>
      <w:r>
        <w:t>в субъектов креативного (творческого) предпринимательства, торговли творческими товарами и услугами, а также занятости в креативном (творческом) предпринимательстве. Для полноты представления об изменении структуры экономики оценивается "креативная интенси</w:t>
      </w:r>
      <w:r>
        <w:t>вность" традиционных секторов экономики (инвестиции в нематериальные активы, доля работников творческого труда).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59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 учетом формирования унифицированных критериев креативного (творческого) предприн</w:t>
      </w:r>
      <w:r>
        <w:t xml:space="preserve">имательства и креативной (творческой) индустрии разрабатывается и реализуется новая модель статистического наблюдения, в том числе основанная на анализе больших массивов данных Федеральной налоговой службы, сведений о сделках с интеллектуальными правами и </w:t>
      </w:r>
      <w:r>
        <w:t>иных данных. С учетом международного опыта также формируется система статистического сопоставления, позволяющего репрезентативно сравнивать российские показатели с аналогичными показателями других стран.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60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</w:t>
      </w:r>
      <w:r>
        <w:t>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Для оценки качества государственного регулирования и сервисного обеспечения креативного (творческого) предпринимательства и условий формирования и роста соответствующих креативных (творческих) индустрий разрабатывается индекс креативного потенциал</w:t>
      </w:r>
      <w:r>
        <w:t>а территорий (возможности экономического роста креативных (творческих) индустрий в конкретной локации), индекс наличия (полноты, доступности, эффективности) механизмов государственной поддержки.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61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Системная государственная поддержка креативных (творческих) индустрий в Российской Федерации должна обеспечить: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62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увеличение доли креативных (творческих) индустрий в экономике Российской Федерации </w:t>
      </w:r>
      <w:r>
        <w:t>с 2,21 процента до 3 процентов к 2024 году, до 6 процентов - к 2030 году;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63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изменение структуры занятости населения - увеличение доли занятости в креативных (творческих) профессиях, в том числе жен</w:t>
      </w:r>
      <w:r>
        <w:t>щин, молодежи, а также лиц с ограниченными возможностями здоровья с 4,67 процента до 12 процентов - к 2024 году, до 15 процентов - к 2030 году;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64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</w:t>
        </w:r>
        <w:r>
          <w:rPr>
            <w:color w:val="0000FF"/>
          </w:rPr>
          <w:t>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 xml:space="preserve">импортозамещение креативных (творческих) продуктов и услуг: снижение отрицательного </w:t>
      </w:r>
      <w:r>
        <w:lastRenderedPageBreak/>
        <w:t>сальдо экспорта-импорта на 50 процентов в 2024 году к уровню 2023 года и достижение положительного сальдо экспорта-импорт</w:t>
      </w:r>
      <w:r>
        <w:t>а к 2030 году (в настоящий момент экспорт креативных услуг составляет 7,4 млрд. долларов США, импорт - 10,4 млрд. долларов США; креативных товаров - 1,7 и 5,7 млрд. долларов США соответственно);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65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рост доли креативных (творческих) индустрий и креативного (творческого) предпринимательства в Российской Федерации в целом в структуре мирового экспорта до 2,3 процента к 2024 году и до 3,5 процента к 2030 году.</w:t>
      </w:r>
    </w:p>
    <w:p w:rsidR="00E62E5F" w:rsidRDefault="002537D0">
      <w:pPr>
        <w:pStyle w:val="ConsPlusNormal0"/>
        <w:jc w:val="both"/>
      </w:pPr>
      <w:r>
        <w:t xml:space="preserve">(в ред. </w:t>
      </w:r>
      <w:hyperlink r:id="rId166" w:tooltip="Распоряжение Правительства РФ от 26.01.2024 N 145-р &lt;О внесении изменений в акты Правительства Российской Федерации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</w:t>
      </w:r>
      <w:r>
        <w:t>01.2024 N 145-р)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Реализация Концепции в субъектах Российской Федерации должна обеспечить: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конкурентоспособность экономик субъектов Российской Федерации и миграционную привлекательность для квалифицированных творческих кадров, в том числе международных кадр</w:t>
      </w:r>
      <w:r>
        <w:t>ов, предотвратить отток талантливой молодежи;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рост налогооблагаемой базы за счет смещения производственных затрат на выплаты персоналу.</w:t>
      </w:r>
    </w:p>
    <w:p w:rsidR="00E62E5F" w:rsidRDefault="002537D0">
      <w:pPr>
        <w:pStyle w:val="ConsPlusNormal0"/>
        <w:spacing w:before="240"/>
        <w:ind w:firstLine="540"/>
        <w:jc w:val="both"/>
      </w:pPr>
      <w:r>
        <w:t>Для граждан основным результатом реализации Концепции должно стать изменение качества жизни, возможность вовлечения тала</w:t>
      </w:r>
      <w:r>
        <w:t>нтов в национальную экономику, получение экономических выгод от инвестиций в человеческий капитал и творческий труд.</w:t>
      </w:r>
    </w:p>
    <w:p w:rsidR="00E62E5F" w:rsidRDefault="00E62E5F">
      <w:pPr>
        <w:pStyle w:val="ConsPlusNormal0"/>
        <w:jc w:val="both"/>
      </w:pPr>
    </w:p>
    <w:p w:rsidR="00E62E5F" w:rsidRDefault="00E62E5F">
      <w:pPr>
        <w:pStyle w:val="ConsPlusNormal0"/>
        <w:jc w:val="both"/>
      </w:pPr>
    </w:p>
    <w:p w:rsidR="00E62E5F" w:rsidRDefault="00E62E5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E62E5F">
      <w:headerReference w:type="default" r:id="rId167"/>
      <w:footerReference w:type="default" r:id="rId168"/>
      <w:headerReference w:type="first" r:id="rId169"/>
      <w:footerReference w:type="first" r:id="rId17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537D0">
      <w:r>
        <w:separator/>
      </w:r>
    </w:p>
  </w:endnote>
  <w:endnote w:type="continuationSeparator" w:id="0">
    <w:p w:rsidR="00000000" w:rsidRDefault="0025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E5F" w:rsidRDefault="00E62E5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E62E5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E62E5F" w:rsidRDefault="002537D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E62E5F" w:rsidRDefault="002537D0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E62E5F" w:rsidRDefault="002537D0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24</w:t>
          </w:r>
          <w:r>
            <w:fldChar w:fldCharType="end"/>
          </w:r>
        </w:p>
      </w:tc>
    </w:tr>
  </w:tbl>
  <w:p w:rsidR="00E62E5F" w:rsidRDefault="002537D0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E5F" w:rsidRDefault="00E62E5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E62E5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E62E5F" w:rsidRDefault="002537D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E62E5F" w:rsidRDefault="002537D0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E62E5F" w:rsidRDefault="002537D0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24</w:t>
          </w:r>
          <w:r>
            <w:fldChar w:fldCharType="end"/>
          </w:r>
        </w:p>
      </w:tc>
    </w:tr>
  </w:tbl>
  <w:p w:rsidR="00E62E5F" w:rsidRDefault="002537D0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537D0">
      <w:r>
        <w:separator/>
      </w:r>
    </w:p>
  </w:footnote>
  <w:footnote w:type="continuationSeparator" w:id="0">
    <w:p w:rsidR="00000000" w:rsidRDefault="00253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E62E5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E62E5F" w:rsidRDefault="002537D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20.09.2021 N 2613-р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r>
            <w:rPr>
              <w:rFonts w:ascii="Tahoma" w:hAnsi="Tahoma" w:cs="Tahoma"/>
              <w:sz w:val="16"/>
              <w:szCs w:val="16"/>
            </w:rPr>
            <w:t>21.10.2024)</w:t>
          </w:r>
          <w:r>
            <w:rPr>
              <w:rFonts w:ascii="Tahoma" w:hAnsi="Tahoma" w:cs="Tahoma"/>
              <w:sz w:val="16"/>
              <w:szCs w:val="16"/>
            </w:rPr>
            <w:br/>
            <w:t>&lt;Об утверждении Концепции развития креативных ...</w:t>
          </w:r>
        </w:p>
      </w:tc>
      <w:tc>
        <w:tcPr>
          <w:tcW w:w="2300" w:type="pct"/>
          <w:vAlign w:val="center"/>
        </w:tcPr>
        <w:p w:rsidR="00E62E5F" w:rsidRDefault="002537D0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 w:rsidR="00E62E5F" w:rsidRDefault="00E62E5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E62E5F" w:rsidRDefault="00E62E5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E62E5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E62E5F" w:rsidRDefault="002537D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Распоряжение Правительства РФ </w:t>
          </w:r>
          <w:r>
            <w:rPr>
              <w:rFonts w:ascii="Tahoma" w:hAnsi="Tahoma" w:cs="Tahoma"/>
              <w:sz w:val="16"/>
              <w:szCs w:val="16"/>
            </w:rPr>
            <w:t>от 20.09.2021 N 2613-р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21.10.2024)</w:t>
          </w:r>
          <w:r>
            <w:rPr>
              <w:rFonts w:ascii="Tahoma" w:hAnsi="Tahoma" w:cs="Tahoma"/>
              <w:sz w:val="16"/>
              <w:szCs w:val="16"/>
            </w:rPr>
            <w:br/>
            <w:t>&lt;Об утверждении Концепции развития креативных ...</w:t>
          </w:r>
        </w:p>
      </w:tc>
      <w:tc>
        <w:tcPr>
          <w:tcW w:w="2300" w:type="pct"/>
          <w:vAlign w:val="center"/>
        </w:tcPr>
        <w:p w:rsidR="00E62E5F" w:rsidRDefault="002537D0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 w:rsidR="00E62E5F" w:rsidRDefault="00E62E5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E62E5F" w:rsidRDefault="00E62E5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E5F"/>
    <w:rsid w:val="002537D0"/>
    <w:rsid w:val="00E6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0A06ED-E9EC-4FB9-802F-C0E155E01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319212&amp;date=10.02.2026" TargetMode="External"/><Relationship Id="rId21" Type="http://schemas.openxmlformats.org/officeDocument/2006/relationships/hyperlink" Target="https://login.consultant.ru/link/?req=doc&amp;base=LAW&amp;n=522734&amp;date=10.02.2026&amp;dst=100018&amp;field=134" TargetMode="External"/><Relationship Id="rId42" Type="http://schemas.openxmlformats.org/officeDocument/2006/relationships/hyperlink" Target="https://login.consultant.ru/link/?req=doc&amp;base=LAW&amp;n=468105&amp;date=10.02.2026&amp;dst=100022&amp;field=134" TargetMode="External"/><Relationship Id="rId63" Type="http://schemas.openxmlformats.org/officeDocument/2006/relationships/hyperlink" Target="https://login.consultant.ru/link/?req=doc&amp;base=LAW&amp;n=468105&amp;date=10.02.2026&amp;dst=100029&amp;field=134" TargetMode="External"/><Relationship Id="rId84" Type="http://schemas.openxmlformats.org/officeDocument/2006/relationships/hyperlink" Target="https://login.consultant.ru/link/?req=doc&amp;base=LAW&amp;n=468105&amp;date=10.02.2026&amp;dst=100036&amp;field=134" TargetMode="External"/><Relationship Id="rId138" Type="http://schemas.openxmlformats.org/officeDocument/2006/relationships/hyperlink" Target="https://login.consultant.ru/link/?req=doc&amp;base=LAW&amp;n=519650&amp;date=10.02.2026&amp;dst=100016&amp;field=134" TargetMode="External"/><Relationship Id="rId159" Type="http://schemas.openxmlformats.org/officeDocument/2006/relationships/hyperlink" Target="https://login.consultant.ru/link/?req=doc&amp;base=LAW&amp;n=468105&amp;date=10.02.2026&amp;dst=100050&amp;field=134" TargetMode="External"/><Relationship Id="rId170" Type="http://schemas.openxmlformats.org/officeDocument/2006/relationships/footer" Target="footer2.xml"/><Relationship Id="rId107" Type="http://schemas.openxmlformats.org/officeDocument/2006/relationships/hyperlink" Target="https://login.consultant.ru/link/?req=doc&amp;base=LAW&amp;n=468105&amp;date=10.02.2026&amp;dst=100042&amp;field=134" TargetMode="External"/><Relationship Id="rId11" Type="http://schemas.openxmlformats.org/officeDocument/2006/relationships/hyperlink" Target="https://login.consultant.ru/link/?req=doc&amp;base=LAW&amp;n=468105&amp;date=10.02.2026&amp;dst=100008&amp;field=134" TargetMode="External"/><Relationship Id="rId32" Type="http://schemas.openxmlformats.org/officeDocument/2006/relationships/hyperlink" Target="https://login.consultant.ru/link/?req=doc&amp;base=LAW&amp;n=468105&amp;date=10.02.2026&amp;dst=100021&amp;field=134" TargetMode="External"/><Relationship Id="rId53" Type="http://schemas.openxmlformats.org/officeDocument/2006/relationships/hyperlink" Target="https://login.consultant.ru/link/?req=doc&amp;base=LAW&amp;n=468105&amp;date=10.02.2026&amp;dst=100024&amp;field=134" TargetMode="External"/><Relationship Id="rId74" Type="http://schemas.openxmlformats.org/officeDocument/2006/relationships/hyperlink" Target="https://login.consultant.ru/link/?req=doc&amp;base=LAW&amp;n=468105&amp;date=10.02.2026&amp;dst=100032&amp;field=134" TargetMode="External"/><Relationship Id="rId128" Type="http://schemas.openxmlformats.org/officeDocument/2006/relationships/hyperlink" Target="https://login.consultant.ru/link/?req=doc&amp;base=LAW&amp;n=468105&amp;date=10.02.2026&amp;dst=100048&amp;field=134" TargetMode="External"/><Relationship Id="rId149" Type="http://schemas.openxmlformats.org/officeDocument/2006/relationships/hyperlink" Target="https://login.consultant.ru/link/?req=doc&amp;base=LAW&amp;n=216250&amp;date=10.02.2026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login.consultant.ru/link/?req=doc&amp;base=LAW&amp;n=468105&amp;date=10.02.2026&amp;dst=100038&amp;field=134" TargetMode="External"/><Relationship Id="rId160" Type="http://schemas.openxmlformats.org/officeDocument/2006/relationships/hyperlink" Target="https://login.consultant.ru/link/?req=doc&amp;base=LAW&amp;n=468105&amp;date=10.02.2026&amp;dst=100050&amp;field=134" TargetMode="External"/><Relationship Id="rId22" Type="http://schemas.openxmlformats.org/officeDocument/2006/relationships/hyperlink" Target="https://login.consultant.ru/link/?req=doc&amp;base=LAW&amp;n=357927&amp;date=10.02.2026" TargetMode="External"/><Relationship Id="rId43" Type="http://schemas.openxmlformats.org/officeDocument/2006/relationships/hyperlink" Target="https://login.consultant.ru/link/?req=doc&amp;base=LAW&amp;n=468105&amp;date=10.02.2026&amp;dst=100022&amp;field=134" TargetMode="External"/><Relationship Id="rId64" Type="http://schemas.openxmlformats.org/officeDocument/2006/relationships/hyperlink" Target="https://login.consultant.ru/link/?req=doc&amp;base=LAW&amp;n=468105&amp;date=10.02.2026&amp;dst=100029&amp;field=134" TargetMode="External"/><Relationship Id="rId118" Type="http://schemas.openxmlformats.org/officeDocument/2006/relationships/hyperlink" Target="https://login.consultant.ru/link/?req=doc&amp;base=LAW&amp;n=468105&amp;date=10.02.2026&amp;dst=100045&amp;field=134" TargetMode="External"/><Relationship Id="rId139" Type="http://schemas.openxmlformats.org/officeDocument/2006/relationships/hyperlink" Target="https://login.consultant.ru/link/?req=doc&amp;base=LAW&amp;n=381742&amp;date=10.02.2026&amp;dst=16765&amp;field=134" TargetMode="External"/><Relationship Id="rId85" Type="http://schemas.openxmlformats.org/officeDocument/2006/relationships/hyperlink" Target="https://login.consultant.ru/link/?req=doc&amp;base=LAW&amp;n=468105&amp;date=10.02.2026&amp;dst=100036&amp;field=134" TargetMode="External"/><Relationship Id="rId150" Type="http://schemas.openxmlformats.org/officeDocument/2006/relationships/hyperlink" Target="https://login.consultant.ru/link/?req=doc&amp;base=LAW&amp;n=505483&amp;date=10.02.2026&amp;dst=9262&amp;field=134" TargetMode="External"/><Relationship Id="rId171" Type="http://schemas.openxmlformats.org/officeDocument/2006/relationships/fontTable" Target="fontTable.xml"/><Relationship Id="rId12" Type="http://schemas.openxmlformats.org/officeDocument/2006/relationships/hyperlink" Target="https://login.consultant.ru/link/?req=doc&amp;base=LAW&amp;n=468105&amp;date=10.02.2026&amp;dst=100010&amp;field=134" TargetMode="External"/><Relationship Id="rId33" Type="http://schemas.openxmlformats.org/officeDocument/2006/relationships/hyperlink" Target="https://login.consultant.ru/link/?req=doc&amp;base=LAW&amp;n=468105&amp;date=10.02.2026&amp;dst=100021&amp;field=134" TargetMode="External"/><Relationship Id="rId108" Type="http://schemas.openxmlformats.org/officeDocument/2006/relationships/hyperlink" Target="https://login.consultant.ru/link/?req=doc&amp;base=LAW&amp;n=468105&amp;date=10.02.2026&amp;dst=100042&amp;field=134" TargetMode="External"/><Relationship Id="rId129" Type="http://schemas.openxmlformats.org/officeDocument/2006/relationships/hyperlink" Target="https://login.consultant.ru/link/?req=doc&amp;base=LAW&amp;n=382369&amp;date=10.02.2026" TargetMode="External"/><Relationship Id="rId54" Type="http://schemas.openxmlformats.org/officeDocument/2006/relationships/hyperlink" Target="https://login.consultant.ru/link/?req=doc&amp;base=LAW&amp;n=468105&amp;date=10.02.2026&amp;dst=100024&amp;field=134" TargetMode="External"/><Relationship Id="rId70" Type="http://schemas.openxmlformats.org/officeDocument/2006/relationships/hyperlink" Target="https://login.consultant.ru/link/?req=doc&amp;base=LAW&amp;n=468105&amp;date=10.02.2026&amp;dst=100032&amp;field=134" TargetMode="External"/><Relationship Id="rId75" Type="http://schemas.openxmlformats.org/officeDocument/2006/relationships/hyperlink" Target="https://login.consultant.ru/link/?req=doc&amp;base=LAW&amp;n=468105&amp;date=10.02.2026&amp;dst=100032&amp;field=134" TargetMode="External"/><Relationship Id="rId91" Type="http://schemas.openxmlformats.org/officeDocument/2006/relationships/hyperlink" Target="https://login.consultant.ru/link/?req=doc&amp;base=LAW&amp;n=468105&amp;date=10.02.2026&amp;dst=100038&amp;field=134" TargetMode="External"/><Relationship Id="rId96" Type="http://schemas.openxmlformats.org/officeDocument/2006/relationships/hyperlink" Target="https://login.consultant.ru/link/?req=doc&amp;base=LAW&amp;n=468105&amp;date=10.02.2026&amp;dst=100038&amp;field=134" TargetMode="External"/><Relationship Id="rId140" Type="http://schemas.openxmlformats.org/officeDocument/2006/relationships/hyperlink" Target="https://login.consultant.ru/link/?req=doc&amp;base=LAW&amp;n=468105&amp;date=10.02.2026&amp;dst=100048&amp;field=134" TargetMode="External"/><Relationship Id="rId145" Type="http://schemas.openxmlformats.org/officeDocument/2006/relationships/hyperlink" Target="https://login.consultant.ru/link/?req=doc&amp;base=LAW&amp;n=519434&amp;date=10.02.2026&amp;dst=100030&amp;field=134" TargetMode="External"/><Relationship Id="rId161" Type="http://schemas.openxmlformats.org/officeDocument/2006/relationships/hyperlink" Target="https://login.consultant.ru/link/?req=doc&amp;base=LAW&amp;n=468105&amp;date=10.02.2026&amp;dst=100050&amp;field=134" TargetMode="External"/><Relationship Id="rId166" Type="http://schemas.openxmlformats.org/officeDocument/2006/relationships/hyperlink" Target="https://login.consultant.ru/link/?req=doc&amp;base=LAW&amp;n=468105&amp;date=10.02.2026&amp;dst=100050&amp;field=134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3" Type="http://schemas.openxmlformats.org/officeDocument/2006/relationships/hyperlink" Target="https://login.consultant.ru/link/?req=doc&amp;base=LAW&amp;n=2875&amp;date=10.02.2026" TargetMode="External"/><Relationship Id="rId28" Type="http://schemas.openxmlformats.org/officeDocument/2006/relationships/hyperlink" Target="https://login.consultant.ru/link/?req=doc&amp;base=LAW&amp;n=468105&amp;date=10.02.2026&amp;dst=100019&amp;field=134" TargetMode="External"/><Relationship Id="rId49" Type="http://schemas.openxmlformats.org/officeDocument/2006/relationships/hyperlink" Target="https://login.consultant.ru/link/?req=doc&amp;base=LAW&amp;n=468105&amp;date=10.02.2026&amp;dst=100022&amp;field=134" TargetMode="External"/><Relationship Id="rId114" Type="http://schemas.openxmlformats.org/officeDocument/2006/relationships/hyperlink" Target="https://login.consultant.ru/link/?req=doc&amp;base=LAW&amp;n=468105&amp;date=10.02.2026&amp;dst=100043&amp;field=134" TargetMode="External"/><Relationship Id="rId119" Type="http://schemas.openxmlformats.org/officeDocument/2006/relationships/hyperlink" Target="https://login.consultant.ru/link/?req=doc&amp;base=LAW&amp;n=518477&amp;date=10.02.2026" TargetMode="External"/><Relationship Id="rId44" Type="http://schemas.openxmlformats.org/officeDocument/2006/relationships/hyperlink" Target="https://login.consultant.ru/link/?req=doc&amp;base=LAW&amp;n=468105&amp;date=10.02.2026&amp;dst=100022&amp;field=134" TargetMode="External"/><Relationship Id="rId60" Type="http://schemas.openxmlformats.org/officeDocument/2006/relationships/hyperlink" Target="https://login.consultant.ru/link/?req=doc&amp;base=LAW&amp;n=468105&amp;date=10.02.2026&amp;dst=100027&amp;field=134" TargetMode="External"/><Relationship Id="rId65" Type="http://schemas.openxmlformats.org/officeDocument/2006/relationships/hyperlink" Target="https://login.consultant.ru/link/?req=doc&amp;base=LAW&amp;n=468105&amp;date=10.02.2026&amp;dst=100030&amp;field=134" TargetMode="External"/><Relationship Id="rId81" Type="http://schemas.openxmlformats.org/officeDocument/2006/relationships/hyperlink" Target="https://login.consultant.ru/link/?req=doc&amp;base=LAW&amp;n=468105&amp;date=10.02.2026&amp;dst=100036&amp;field=134" TargetMode="External"/><Relationship Id="rId86" Type="http://schemas.openxmlformats.org/officeDocument/2006/relationships/hyperlink" Target="https://login.consultant.ru/link/?req=doc&amp;base=LAW&amp;n=468105&amp;date=10.02.2026&amp;dst=100036&amp;field=134" TargetMode="External"/><Relationship Id="rId130" Type="http://schemas.openxmlformats.org/officeDocument/2006/relationships/hyperlink" Target="https://login.consultant.ru/link/?req=doc&amp;base=LAW&amp;n=319606&amp;date=10.02.2026" TargetMode="External"/><Relationship Id="rId135" Type="http://schemas.openxmlformats.org/officeDocument/2006/relationships/hyperlink" Target="https://login.consultant.ru/link/?req=doc&amp;base=LAW&amp;n=328854&amp;date=10.02.2026" TargetMode="External"/><Relationship Id="rId151" Type="http://schemas.openxmlformats.org/officeDocument/2006/relationships/hyperlink" Target="https://login.consultant.ru/link/?req=doc&amp;base=LAW&amp;n=525261&amp;date=10.02.2026&amp;dst=159244&amp;field=134" TargetMode="External"/><Relationship Id="rId156" Type="http://schemas.openxmlformats.org/officeDocument/2006/relationships/hyperlink" Target="https://login.consultant.ru/link/?req=doc&amp;base=LAW&amp;n=468105&amp;date=10.02.2026&amp;dst=100049&amp;field=134" TargetMode="External"/><Relationship Id="rId172" Type="http://schemas.openxmlformats.org/officeDocument/2006/relationships/theme" Target="theme/theme1.xml"/><Relationship Id="rId13" Type="http://schemas.openxmlformats.org/officeDocument/2006/relationships/hyperlink" Target="https://login.consultant.ru/link/?req=doc&amp;base=LAW&amp;n=468105&amp;date=10.02.2026&amp;dst=100011&amp;field=134" TargetMode="External"/><Relationship Id="rId18" Type="http://schemas.openxmlformats.org/officeDocument/2006/relationships/hyperlink" Target="https://login.consultant.ru/link/?req=doc&amp;base=LAW&amp;n=510266&amp;date=10.02.2026&amp;dst=100011&amp;field=134" TargetMode="External"/><Relationship Id="rId39" Type="http://schemas.openxmlformats.org/officeDocument/2006/relationships/hyperlink" Target="https://login.consultant.ru/link/?req=doc&amp;base=LAW&amp;n=468105&amp;date=10.02.2026&amp;dst=100022&amp;field=134" TargetMode="External"/><Relationship Id="rId109" Type="http://schemas.openxmlformats.org/officeDocument/2006/relationships/hyperlink" Target="https://login.consultant.ru/link/?req=doc&amp;base=LAW&amp;n=468105&amp;date=10.02.2026&amp;dst=100042&amp;field=134" TargetMode="External"/><Relationship Id="rId34" Type="http://schemas.openxmlformats.org/officeDocument/2006/relationships/hyperlink" Target="https://login.consultant.ru/link/?req=doc&amp;base=LAW&amp;n=468105&amp;date=10.02.2026&amp;dst=100021&amp;field=134" TargetMode="External"/><Relationship Id="rId50" Type="http://schemas.openxmlformats.org/officeDocument/2006/relationships/hyperlink" Target="https://login.consultant.ru/link/?req=doc&amp;base=LAW&amp;n=468105&amp;date=10.02.2026&amp;dst=100022&amp;field=134" TargetMode="External"/><Relationship Id="rId55" Type="http://schemas.openxmlformats.org/officeDocument/2006/relationships/hyperlink" Target="https://login.consultant.ru/link/?req=doc&amp;base=LAW&amp;n=468105&amp;date=10.02.2026&amp;dst=100025&amp;field=134" TargetMode="External"/><Relationship Id="rId76" Type="http://schemas.openxmlformats.org/officeDocument/2006/relationships/hyperlink" Target="https://login.consultant.ru/link/?req=doc&amp;base=LAW&amp;n=468105&amp;date=10.02.2026&amp;dst=100032&amp;field=134" TargetMode="External"/><Relationship Id="rId97" Type="http://schemas.openxmlformats.org/officeDocument/2006/relationships/hyperlink" Target="https://login.consultant.ru/link/?req=doc&amp;base=LAW&amp;n=468105&amp;date=10.02.2026&amp;dst=100038&amp;field=134" TargetMode="External"/><Relationship Id="rId104" Type="http://schemas.openxmlformats.org/officeDocument/2006/relationships/hyperlink" Target="https://login.consultant.ru/link/?req=doc&amp;base=LAW&amp;n=468105&amp;date=10.02.2026&amp;dst=100042&amp;field=134" TargetMode="External"/><Relationship Id="rId120" Type="http://schemas.openxmlformats.org/officeDocument/2006/relationships/hyperlink" Target="https://login.consultant.ru/link/?req=doc&amp;base=LAW&amp;n=468105&amp;date=10.02.2026&amp;dst=100045&amp;field=134" TargetMode="External"/><Relationship Id="rId125" Type="http://schemas.openxmlformats.org/officeDocument/2006/relationships/hyperlink" Target="https://login.consultant.ru/link/?req=doc&amp;base=LAW&amp;n=319305&amp;date=10.02.2026" TargetMode="External"/><Relationship Id="rId141" Type="http://schemas.openxmlformats.org/officeDocument/2006/relationships/hyperlink" Target="https://login.consultant.ru/link/?req=doc&amp;base=LAW&amp;n=399971&amp;date=10.02.2026" TargetMode="External"/><Relationship Id="rId146" Type="http://schemas.openxmlformats.org/officeDocument/2006/relationships/hyperlink" Target="https://login.consultant.ru/link/?req=doc&amp;base=LAW&amp;n=319308&amp;date=10.02.2026" TargetMode="External"/><Relationship Id="rId167" Type="http://schemas.openxmlformats.org/officeDocument/2006/relationships/header" Target="header1.xml"/><Relationship Id="rId7" Type="http://schemas.openxmlformats.org/officeDocument/2006/relationships/hyperlink" Target="https://www.consultant.ru" TargetMode="External"/><Relationship Id="rId71" Type="http://schemas.openxmlformats.org/officeDocument/2006/relationships/hyperlink" Target="https://login.consultant.ru/link/?req=doc&amp;base=LAW&amp;n=468105&amp;date=10.02.2026&amp;dst=100032&amp;field=134" TargetMode="External"/><Relationship Id="rId92" Type="http://schemas.openxmlformats.org/officeDocument/2006/relationships/hyperlink" Target="https://login.consultant.ru/link/?req=doc&amp;base=LAW&amp;n=468105&amp;date=10.02.2026&amp;dst=100038&amp;field=134" TargetMode="External"/><Relationship Id="rId162" Type="http://schemas.openxmlformats.org/officeDocument/2006/relationships/hyperlink" Target="https://login.consultant.ru/link/?req=doc&amp;base=LAW&amp;n=468105&amp;date=10.02.2026&amp;dst=100050&amp;field=13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68105&amp;date=10.02.2026&amp;dst=100021&amp;field=134" TargetMode="External"/><Relationship Id="rId24" Type="http://schemas.openxmlformats.org/officeDocument/2006/relationships/hyperlink" Target="https://login.consultant.ru/link/?req=doc&amp;base=LAW&amp;n=499648&amp;date=10.02.2026" TargetMode="External"/><Relationship Id="rId40" Type="http://schemas.openxmlformats.org/officeDocument/2006/relationships/hyperlink" Target="https://login.consultant.ru/link/?req=doc&amp;base=LAW&amp;n=468105&amp;date=10.02.2026&amp;dst=100022&amp;field=134" TargetMode="External"/><Relationship Id="rId45" Type="http://schemas.openxmlformats.org/officeDocument/2006/relationships/hyperlink" Target="https://login.consultant.ru/link/?req=doc&amp;base=LAW&amp;n=428211&amp;date=10.02.2026&amp;dst=100009&amp;field=134" TargetMode="External"/><Relationship Id="rId66" Type="http://schemas.openxmlformats.org/officeDocument/2006/relationships/hyperlink" Target="https://login.consultant.ru/link/?req=doc&amp;base=LAW&amp;n=468105&amp;date=10.02.2026&amp;dst=100032&amp;field=134" TargetMode="External"/><Relationship Id="rId87" Type="http://schemas.openxmlformats.org/officeDocument/2006/relationships/hyperlink" Target="https://login.consultant.ru/link/?req=doc&amp;base=LAW&amp;n=468105&amp;date=10.02.2026&amp;dst=100036&amp;field=134" TargetMode="External"/><Relationship Id="rId110" Type="http://schemas.openxmlformats.org/officeDocument/2006/relationships/hyperlink" Target="https://login.consultant.ru/link/?req=doc&amp;base=LAW&amp;n=468105&amp;date=10.02.2026&amp;dst=100042&amp;field=134" TargetMode="External"/><Relationship Id="rId115" Type="http://schemas.openxmlformats.org/officeDocument/2006/relationships/hyperlink" Target="https://login.consultant.ru/link/?req=doc&amp;base=LAW&amp;n=379344&amp;date=10.02.2026&amp;dst=100016&amp;field=134" TargetMode="External"/><Relationship Id="rId131" Type="http://schemas.openxmlformats.org/officeDocument/2006/relationships/hyperlink" Target="https://login.consultant.ru/link/?req=doc&amp;base=LAW&amp;n=319210&amp;date=10.02.2026" TargetMode="External"/><Relationship Id="rId136" Type="http://schemas.openxmlformats.org/officeDocument/2006/relationships/hyperlink" Target="https://login.consultant.ru/link/?req=doc&amp;base=LAW&amp;n=522230&amp;date=10.02.2026&amp;dst=107781&amp;field=134" TargetMode="External"/><Relationship Id="rId157" Type="http://schemas.openxmlformats.org/officeDocument/2006/relationships/hyperlink" Target="https://login.consultant.ru/link/?req=doc&amp;base=LAW&amp;n=468105&amp;date=10.02.2026&amp;dst=100049&amp;field=134" TargetMode="External"/><Relationship Id="rId61" Type="http://schemas.openxmlformats.org/officeDocument/2006/relationships/hyperlink" Target="https://login.consultant.ru/link/?req=doc&amp;base=LAW&amp;n=468105&amp;date=10.02.2026&amp;dst=100029&amp;field=134" TargetMode="External"/><Relationship Id="rId82" Type="http://schemas.openxmlformats.org/officeDocument/2006/relationships/hyperlink" Target="https://login.consultant.ru/link/?req=doc&amp;base=LAW&amp;n=468105&amp;date=10.02.2026&amp;dst=100036&amp;field=134" TargetMode="External"/><Relationship Id="rId152" Type="http://schemas.openxmlformats.org/officeDocument/2006/relationships/hyperlink" Target="https://login.consultant.ru/link/?req=doc&amp;base=LAW&amp;n=468105&amp;date=10.02.2026&amp;dst=100049&amp;field=134" TargetMode="External"/><Relationship Id="rId19" Type="http://schemas.openxmlformats.org/officeDocument/2006/relationships/hyperlink" Target="https://login.consultant.ru/link/?req=doc&amp;base=LAW&amp;n=470973&amp;date=10.02.2026&amp;dst=100016&amp;field=134" TargetMode="External"/><Relationship Id="rId14" Type="http://schemas.openxmlformats.org/officeDocument/2006/relationships/hyperlink" Target="https://login.consultant.ru/link/?req=doc&amp;base=LAW&amp;n=468105&amp;date=10.02.2026&amp;dst=100012&amp;field=134" TargetMode="External"/><Relationship Id="rId30" Type="http://schemas.openxmlformats.org/officeDocument/2006/relationships/hyperlink" Target="https://login.consultant.ru/link/?req=doc&amp;base=LAW&amp;n=468105&amp;date=10.02.2026&amp;dst=100021&amp;field=134" TargetMode="External"/><Relationship Id="rId35" Type="http://schemas.openxmlformats.org/officeDocument/2006/relationships/hyperlink" Target="https://login.consultant.ru/link/?req=doc&amp;base=LAW&amp;n=468105&amp;date=10.02.2026&amp;dst=100021&amp;field=134" TargetMode="External"/><Relationship Id="rId56" Type="http://schemas.openxmlformats.org/officeDocument/2006/relationships/hyperlink" Target="https://login.consultant.ru/link/?req=doc&amp;base=LAW&amp;n=468105&amp;date=10.02.2026&amp;dst=100025&amp;field=134" TargetMode="External"/><Relationship Id="rId77" Type="http://schemas.openxmlformats.org/officeDocument/2006/relationships/hyperlink" Target="https://login.consultant.ru/link/?req=doc&amp;base=LAW&amp;n=468105&amp;date=10.02.2026&amp;dst=100033&amp;field=134" TargetMode="External"/><Relationship Id="rId100" Type="http://schemas.openxmlformats.org/officeDocument/2006/relationships/hyperlink" Target="https://login.consultant.ru/link/?req=doc&amp;base=LAW&amp;n=468105&amp;date=10.02.2026&amp;dst=100038&amp;field=134" TargetMode="External"/><Relationship Id="rId105" Type="http://schemas.openxmlformats.org/officeDocument/2006/relationships/hyperlink" Target="https://login.consultant.ru/link/?req=doc&amp;base=LAW&amp;n=468105&amp;date=10.02.2026&amp;dst=100042&amp;field=134" TargetMode="External"/><Relationship Id="rId126" Type="http://schemas.openxmlformats.org/officeDocument/2006/relationships/hyperlink" Target="https://login.consultant.ru/link/?req=doc&amp;base=LAW&amp;n=521784&amp;date=10.02.2026&amp;dst=100019&amp;field=134" TargetMode="External"/><Relationship Id="rId147" Type="http://schemas.openxmlformats.org/officeDocument/2006/relationships/hyperlink" Target="https://login.consultant.ru/link/?req=doc&amp;base=LAW&amp;n=522570&amp;date=10.02.2026&amp;dst=100019&amp;field=134" TargetMode="External"/><Relationship Id="rId168" Type="http://schemas.openxmlformats.org/officeDocument/2006/relationships/footer" Target="footer1.xm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468105&amp;date=10.02.2026&amp;dst=100024&amp;field=134" TargetMode="External"/><Relationship Id="rId72" Type="http://schemas.openxmlformats.org/officeDocument/2006/relationships/hyperlink" Target="https://login.consultant.ru/link/?req=doc&amp;base=LAW&amp;n=468105&amp;date=10.02.2026&amp;dst=100032&amp;field=134" TargetMode="External"/><Relationship Id="rId93" Type="http://schemas.openxmlformats.org/officeDocument/2006/relationships/hyperlink" Target="https://login.consultant.ru/link/?req=doc&amp;base=LAW&amp;n=468105&amp;date=10.02.2026&amp;dst=100038&amp;field=134" TargetMode="External"/><Relationship Id="rId98" Type="http://schemas.openxmlformats.org/officeDocument/2006/relationships/hyperlink" Target="https://login.consultant.ru/link/?req=doc&amp;base=LAW&amp;n=468105&amp;date=10.02.2026&amp;dst=100038&amp;field=134" TargetMode="External"/><Relationship Id="rId121" Type="http://schemas.openxmlformats.org/officeDocument/2006/relationships/hyperlink" Target="https://login.consultant.ru/link/?req=doc&amp;base=LAW&amp;n=468173&amp;date=10.02.2026&amp;dst=100009&amp;field=134" TargetMode="External"/><Relationship Id="rId142" Type="http://schemas.openxmlformats.org/officeDocument/2006/relationships/hyperlink" Target="https://login.consultant.ru/link/?req=doc&amp;base=LAW&amp;n=328854&amp;date=10.02.2026" TargetMode="External"/><Relationship Id="rId163" Type="http://schemas.openxmlformats.org/officeDocument/2006/relationships/hyperlink" Target="https://login.consultant.ru/link/?req=doc&amp;base=LAW&amp;n=468105&amp;date=10.02.2026&amp;dst=100050&amp;field=134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LAW&amp;n=508490&amp;date=10.02.2026" TargetMode="External"/><Relationship Id="rId46" Type="http://schemas.openxmlformats.org/officeDocument/2006/relationships/hyperlink" Target="https://login.consultant.ru/link/?req=doc&amp;base=LAW&amp;n=428211&amp;date=10.02.2026&amp;dst=100009&amp;field=134" TargetMode="External"/><Relationship Id="rId67" Type="http://schemas.openxmlformats.org/officeDocument/2006/relationships/hyperlink" Target="https://login.consultant.ru/link/?req=doc&amp;base=LAW&amp;n=468105&amp;date=10.02.2026&amp;dst=100032&amp;field=134" TargetMode="External"/><Relationship Id="rId116" Type="http://schemas.openxmlformats.org/officeDocument/2006/relationships/hyperlink" Target="https://login.consultant.ru/link/?req=doc&amp;base=LAW&amp;n=468105&amp;date=10.02.2026&amp;dst=100045&amp;field=134" TargetMode="External"/><Relationship Id="rId137" Type="http://schemas.openxmlformats.org/officeDocument/2006/relationships/hyperlink" Target="https://login.consultant.ru/link/?req=doc&amp;base=LAW&amp;n=319212&amp;date=10.02.2026" TargetMode="External"/><Relationship Id="rId158" Type="http://schemas.openxmlformats.org/officeDocument/2006/relationships/hyperlink" Target="https://login.consultant.ru/link/?req=doc&amp;base=LAW&amp;n=428211&amp;date=10.02.2026&amp;dst=100009&amp;field=134" TargetMode="External"/><Relationship Id="rId20" Type="http://schemas.openxmlformats.org/officeDocument/2006/relationships/hyperlink" Target="https://login.consultant.ru/link/?req=doc&amp;base=LAW&amp;n=428211&amp;date=10.02.2026&amp;dst=100184&amp;field=134" TargetMode="External"/><Relationship Id="rId41" Type="http://schemas.openxmlformats.org/officeDocument/2006/relationships/hyperlink" Target="https://login.consultant.ru/link/?req=doc&amp;base=LAW&amp;n=468105&amp;date=10.02.2026&amp;dst=100022&amp;field=134" TargetMode="External"/><Relationship Id="rId62" Type="http://schemas.openxmlformats.org/officeDocument/2006/relationships/hyperlink" Target="https://login.consultant.ru/link/?req=doc&amp;base=LAW&amp;n=468105&amp;date=10.02.2026&amp;dst=100029&amp;field=134" TargetMode="External"/><Relationship Id="rId83" Type="http://schemas.openxmlformats.org/officeDocument/2006/relationships/hyperlink" Target="https://login.consultant.ru/link/?req=doc&amp;base=LAW&amp;n=468105&amp;date=10.02.2026&amp;dst=100036&amp;field=134" TargetMode="External"/><Relationship Id="rId88" Type="http://schemas.openxmlformats.org/officeDocument/2006/relationships/hyperlink" Target="https://login.consultant.ru/link/?req=doc&amp;base=LAW&amp;n=468105&amp;date=10.02.2026&amp;dst=100036&amp;field=134" TargetMode="External"/><Relationship Id="rId111" Type="http://schemas.openxmlformats.org/officeDocument/2006/relationships/hyperlink" Target="https://login.consultant.ru/link/?req=doc&amp;base=LAW&amp;n=468105&amp;date=10.02.2026&amp;dst=100042&amp;field=134" TargetMode="External"/><Relationship Id="rId132" Type="http://schemas.openxmlformats.org/officeDocument/2006/relationships/hyperlink" Target="https://login.consultant.ru/link/?req=doc&amp;base=LAW&amp;n=520319&amp;date=10.02.2026&amp;dst=25980&amp;field=134" TargetMode="External"/><Relationship Id="rId153" Type="http://schemas.openxmlformats.org/officeDocument/2006/relationships/hyperlink" Target="https://login.consultant.ru/link/?req=doc&amp;base=LAW&amp;n=428211&amp;date=10.02.2026&amp;dst=100009&amp;field=134" TargetMode="External"/><Relationship Id="rId15" Type="http://schemas.openxmlformats.org/officeDocument/2006/relationships/hyperlink" Target="https://login.consultant.ru/link/?req=doc&amp;base=LAW&amp;n=468105&amp;date=10.02.2026&amp;dst=100013&amp;field=134" TargetMode="External"/><Relationship Id="rId36" Type="http://schemas.openxmlformats.org/officeDocument/2006/relationships/hyperlink" Target="https://login.consultant.ru/link/?req=doc&amp;base=LAW&amp;n=468105&amp;date=10.02.2026&amp;dst=100021&amp;field=134" TargetMode="External"/><Relationship Id="rId57" Type="http://schemas.openxmlformats.org/officeDocument/2006/relationships/hyperlink" Target="https://login.consultant.ru/link/?req=doc&amp;base=LAW&amp;n=468105&amp;date=10.02.2026&amp;dst=100026&amp;field=134" TargetMode="External"/><Relationship Id="rId106" Type="http://schemas.openxmlformats.org/officeDocument/2006/relationships/hyperlink" Target="https://login.consultant.ru/link/?req=doc&amp;base=LAW&amp;n=468105&amp;date=10.02.2026&amp;dst=100042&amp;field=134" TargetMode="External"/><Relationship Id="rId127" Type="http://schemas.openxmlformats.org/officeDocument/2006/relationships/hyperlink" Target="https://login.consultant.ru/link/?req=doc&amp;base=LAW&amp;n=525250&amp;date=10.02.2026&amp;dst=100014&amp;field=134" TargetMode="External"/><Relationship Id="rId10" Type="http://schemas.openxmlformats.org/officeDocument/2006/relationships/hyperlink" Target="https://login.consultant.ru/link/?req=doc&amp;base=LAW&amp;n=522734&amp;date=10.02.2026&amp;dst=100018&amp;field=134" TargetMode="External"/><Relationship Id="rId31" Type="http://schemas.openxmlformats.org/officeDocument/2006/relationships/hyperlink" Target="https://login.consultant.ru/link/?req=doc&amp;base=LAW&amp;n=468105&amp;date=10.02.2026&amp;dst=100021&amp;field=134" TargetMode="External"/><Relationship Id="rId52" Type="http://schemas.openxmlformats.org/officeDocument/2006/relationships/hyperlink" Target="https://login.consultant.ru/link/?req=doc&amp;base=LAW&amp;n=468105&amp;date=10.02.2026&amp;dst=100024&amp;field=134" TargetMode="External"/><Relationship Id="rId73" Type="http://schemas.openxmlformats.org/officeDocument/2006/relationships/hyperlink" Target="https://login.consultant.ru/link/?req=doc&amp;base=LAW&amp;n=468105&amp;date=10.02.2026&amp;dst=100032&amp;field=134" TargetMode="External"/><Relationship Id="rId78" Type="http://schemas.openxmlformats.org/officeDocument/2006/relationships/hyperlink" Target="https://login.consultant.ru/link/?req=doc&amp;base=LAW&amp;n=468105&amp;date=10.02.2026&amp;dst=100035&amp;field=134" TargetMode="External"/><Relationship Id="rId94" Type="http://schemas.openxmlformats.org/officeDocument/2006/relationships/hyperlink" Target="https://login.consultant.ru/link/?req=doc&amp;base=LAW&amp;n=468105&amp;date=10.02.2026&amp;dst=100038&amp;field=134" TargetMode="External"/><Relationship Id="rId99" Type="http://schemas.openxmlformats.org/officeDocument/2006/relationships/hyperlink" Target="https://login.consultant.ru/link/?req=doc&amp;base=LAW&amp;n=468105&amp;date=10.02.2026&amp;dst=100038&amp;field=134" TargetMode="External"/><Relationship Id="rId101" Type="http://schemas.openxmlformats.org/officeDocument/2006/relationships/hyperlink" Target="https://login.consultant.ru/link/?req=doc&amp;base=LAW&amp;n=468105&amp;date=10.02.2026&amp;dst=100039&amp;field=134" TargetMode="External"/><Relationship Id="rId122" Type="http://schemas.openxmlformats.org/officeDocument/2006/relationships/hyperlink" Target="https://login.consultant.ru/link/?req=doc&amp;base=LAW&amp;n=468105&amp;date=10.02.2026&amp;dst=100047&amp;field=134" TargetMode="External"/><Relationship Id="rId143" Type="http://schemas.openxmlformats.org/officeDocument/2006/relationships/hyperlink" Target="https://login.consultant.ru/link/?req=doc&amp;base=LAW&amp;n=319207&amp;date=10.02.2026" TargetMode="External"/><Relationship Id="rId148" Type="http://schemas.openxmlformats.org/officeDocument/2006/relationships/hyperlink" Target="https://login.consultant.ru/link/?req=doc&amp;base=LAW&amp;n=319207&amp;date=10.02.2026" TargetMode="External"/><Relationship Id="rId164" Type="http://schemas.openxmlformats.org/officeDocument/2006/relationships/hyperlink" Target="https://login.consultant.ru/link/?req=doc&amp;base=LAW&amp;n=468105&amp;date=10.02.2026&amp;dst=100050&amp;field=134" TargetMode="External"/><Relationship Id="rId16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68105&amp;date=10.02.2026&amp;dst=100007&amp;field=134" TargetMode="External"/><Relationship Id="rId26" Type="http://schemas.openxmlformats.org/officeDocument/2006/relationships/hyperlink" Target="https://login.consultant.ru/link/?req=doc&amp;base=LAW&amp;n=468105&amp;date=10.02.2026&amp;dst=100018&amp;field=134" TargetMode="External"/><Relationship Id="rId47" Type="http://schemas.openxmlformats.org/officeDocument/2006/relationships/hyperlink" Target="https://login.consultant.ru/link/?req=doc&amp;base=LAW&amp;n=468105&amp;date=10.02.2026&amp;dst=100022&amp;field=134" TargetMode="External"/><Relationship Id="rId68" Type="http://schemas.openxmlformats.org/officeDocument/2006/relationships/hyperlink" Target="https://login.consultant.ru/link/?req=doc&amp;base=LAW&amp;n=468105&amp;date=10.02.2026&amp;dst=100032&amp;field=134" TargetMode="External"/><Relationship Id="rId89" Type="http://schemas.openxmlformats.org/officeDocument/2006/relationships/hyperlink" Target="https://login.consultant.ru/link/?req=doc&amp;base=LAW&amp;n=468105&amp;date=10.02.2026&amp;dst=100038&amp;field=134" TargetMode="External"/><Relationship Id="rId112" Type="http://schemas.openxmlformats.org/officeDocument/2006/relationships/hyperlink" Target="https://login.consultant.ru/link/?req=doc&amp;base=EXP&amp;n=772177&amp;date=10.02.2026" TargetMode="External"/><Relationship Id="rId133" Type="http://schemas.openxmlformats.org/officeDocument/2006/relationships/hyperlink" Target="https://login.consultant.ru/link/?req=doc&amp;base=LAW&amp;n=522697&amp;date=10.02.2026&amp;dst=109549&amp;field=134" TargetMode="External"/><Relationship Id="rId154" Type="http://schemas.openxmlformats.org/officeDocument/2006/relationships/hyperlink" Target="https://login.consultant.ru/link/?req=doc&amp;base=LAW&amp;n=468105&amp;date=10.02.2026&amp;dst=100049&amp;field=134" TargetMode="External"/><Relationship Id="rId16" Type="http://schemas.openxmlformats.org/officeDocument/2006/relationships/hyperlink" Target="https://login.consultant.ru/link/?req=doc&amp;base=LAW&amp;n=522734&amp;date=10.02.2026&amp;dst=100018&amp;field=134" TargetMode="External"/><Relationship Id="rId37" Type="http://schemas.openxmlformats.org/officeDocument/2006/relationships/hyperlink" Target="https://login.consultant.ru/link/?req=doc&amp;base=LAW&amp;n=468105&amp;date=10.02.2026&amp;dst=100022&amp;field=134" TargetMode="External"/><Relationship Id="rId58" Type="http://schemas.openxmlformats.org/officeDocument/2006/relationships/hyperlink" Target="https://login.consultant.ru/link/?req=doc&amp;base=LAW&amp;n=468105&amp;date=10.02.2026&amp;dst=100026&amp;field=134" TargetMode="External"/><Relationship Id="rId79" Type="http://schemas.openxmlformats.org/officeDocument/2006/relationships/hyperlink" Target="https://login.consultant.ru/link/?req=doc&amp;base=LAW&amp;n=468105&amp;date=10.02.2026&amp;dst=100036&amp;field=134" TargetMode="External"/><Relationship Id="rId102" Type="http://schemas.openxmlformats.org/officeDocument/2006/relationships/hyperlink" Target="https://login.consultant.ru/link/?req=doc&amp;base=LAW&amp;n=468105&amp;date=10.02.2026&amp;dst=100041&amp;field=134" TargetMode="External"/><Relationship Id="rId123" Type="http://schemas.openxmlformats.org/officeDocument/2006/relationships/hyperlink" Target="https://login.consultant.ru/link/?req=doc&amp;base=LAW&amp;n=216250&amp;date=10.02.2026" TargetMode="External"/><Relationship Id="rId144" Type="http://schemas.openxmlformats.org/officeDocument/2006/relationships/hyperlink" Target="https://login.consultant.ru/link/?req=doc&amp;base=LAW&amp;n=524107&amp;date=10.02.2026&amp;dst=1038&amp;field=134" TargetMode="External"/><Relationship Id="rId90" Type="http://schemas.openxmlformats.org/officeDocument/2006/relationships/hyperlink" Target="https://login.consultant.ru/link/?req=doc&amp;base=LAW&amp;n=468105&amp;date=10.02.2026&amp;dst=100038&amp;field=134" TargetMode="External"/><Relationship Id="rId165" Type="http://schemas.openxmlformats.org/officeDocument/2006/relationships/hyperlink" Target="https://login.consultant.ru/link/?req=doc&amp;base=LAW&amp;n=468105&amp;date=10.02.2026&amp;dst=100050&amp;field=134" TargetMode="External"/><Relationship Id="rId27" Type="http://schemas.openxmlformats.org/officeDocument/2006/relationships/hyperlink" Target="https://login.consultant.ru/link/?req=doc&amp;base=LAW&amp;n=468105&amp;date=10.02.2026&amp;dst=100018&amp;field=134" TargetMode="External"/><Relationship Id="rId48" Type="http://schemas.openxmlformats.org/officeDocument/2006/relationships/hyperlink" Target="https://login.consultant.ru/link/?req=doc&amp;base=LAW&amp;n=468105&amp;date=10.02.2026&amp;dst=100022&amp;field=134" TargetMode="External"/><Relationship Id="rId69" Type="http://schemas.openxmlformats.org/officeDocument/2006/relationships/hyperlink" Target="https://login.consultant.ru/link/?req=doc&amp;base=LAW&amp;n=468105&amp;date=10.02.2026&amp;dst=100032&amp;field=134" TargetMode="External"/><Relationship Id="rId113" Type="http://schemas.openxmlformats.org/officeDocument/2006/relationships/hyperlink" Target="https://login.consultant.ru/link/?req=doc&amp;base=EXP&amp;n=780660&amp;date=10.02.2026" TargetMode="External"/><Relationship Id="rId134" Type="http://schemas.openxmlformats.org/officeDocument/2006/relationships/hyperlink" Target="https://login.consultant.ru/link/?req=doc&amp;base=LAW&amp;n=328932&amp;date=10.02.2026" TargetMode="External"/><Relationship Id="rId80" Type="http://schemas.openxmlformats.org/officeDocument/2006/relationships/hyperlink" Target="https://login.consultant.ru/link/?req=doc&amp;base=LAW&amp;n=468105&amp;date=10.02.2026&amp;dst=100036&amp;field=134" TargetMode="External"/><Relationship Id="rId155" Type="http://schemas.openxmlformats.org/officeDocument/2006/relationships/hyperlink" Target="https://login.consultant.ru/link/?req=doc&amp;base=LAW&amp;n=468105&amp;date=10.02.2026&amp;dst=100049&amp;field=134" TargetMode="External"/><Relationship Id="rId17" Type="http://schemas.openxmlformats.org/officeDocument/2006/relationships/hyperlink" Target="https://login.consultant.ru/link/?req=doc&amp;base=LAW&amp;n=468105&amp;date=10.02.2026&amp;dst=100016&amp;field=134" TargetMode="External"/><Relationship Id="rId38" Type="http://schemas.openxmlformats.org/officeDocument/2006/relationships/hyperlink" Target="https://login.consultant.ru/link/?req=doc&amp;base=LAW&amp;n=468105&amp;date=10.02.2026&amp;dst=100022&amp;field=134" TargetMode="External"/><Relationship Id="rId59" Type="http://schemas.openxmlformats.org/officeDocument/2006/relationships/hyperlink" Target="https://login.consultant.ru/link/?req=doc&amp;base=LAW&amp;n=468105&amp;date=10.02.2026&amp;dst=100026&amp;field=134" TargetMode="External"/><Relationship Id="rId103" Type="http://schemas.openxmlformats.org/officeDocument/2006/relationships/hyperlink" Target="https://login.consultant.ru/link/?req=doc&amp;base=LAW&amp;n=468105&amp;date=10.02.2026&amp;dst=100042&amp;field=134" TargetMode="External"/><Relationship Id="rId124" Type="http://schemas.openxmlformats.org/officeDocument/2006/relationships/hyperlink" Target="https://login.consultant.ru/link/?req=doc&amp;base=LAW&amp;n=315829&amp;date=10.02.2026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15678</Words>
  <Characters>89367</Characters>
  <Application>Microsoft Office Word</Application>
  <DocSecurity>0</DocSecurity>
  <Lines>744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Правительства РФ от 20.09.2021 N 2613-р
(ред. от 21.10.2024)
&lt;Об утверждении Концепции развития креативных (творческих) индустрий и механизмов осуществления их государственной поддержки до 2030 года&gt;</vt:lpstr>
    </vt:vector>
  </TitlesOfParts>
  <Company>КонсультантПлюс Версия 4025.00.30</Company>
  <LinksUpToDate>false</LinksUpToDate>
  <CharactersWithSpaces>104836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20.09.2021 N 2613-р
(ред. от 21.10.2024)
&lt;Об утверждении Концепции развития креативных (творческих) индустрий и механизмов осуществления их государственной поддержки до 2030 года&gt;</dc:title>
  <dc:creator>Яковлева Евгения Александровна</dc:creator>
  <cp:lastModifiedBy>Яковлева Евгения Александровна</cp:lastModifiedBy>
  <cp:revision>2</cp:revision>
  <dcterms:created xsi:type="dcterms:W3CDTF">2026-09-03T06:50:00Z</dcterms:created>
  <dcterms:modified xsi:type="dcterms:W3CDTF">2026-09-03T06:50:00Z</dcterms:modified>
</cp:coreProperties>
</file>